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BCA" w:rsidRPr="004C5BD1" w:rsidRDefault="005A7385" w:rsidP="00333A9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600" w:after="240"/>
        <w:jc w:val="left"/>
        <w:rPr>
          <w:rFonts w:ascii="TheSans" w:hAnsi="TheSans" w:cs="TheSans-B7Bold"/>
          <w:b/>
          <w:bCs/>
          <w:color w:val="0070B8"/>
          <w:spacing w:val="-4"/>
          <w:sz w:val="40"/>
          <w:szCs w:val="40"/>
          <w:bdr w:val="none" w:sz="0" w:space="0" w:color="auto"/>
        </w:rPr>
      </w:pPr>
      <w:r w:rsidRPr="005A7385">
        <w:rPr>
          <w:rFonts w:ascii="TheSans" w:hAnsi="TheSans" w:cs="TheSans-B7Bold"/>
          <w:b/>
          <w:bCs/>
          <w:color w:val="0070B8"/>
          <w:spacing w:val="-4"/>
          <w:sz w:val="40"/>
          <w:szCs w:val="40"/>
          <w:bdr w:val="none" w:sz="0" w:space="0" w:color="auto"/>
        </w:rPr>
        <w:t>Die ASUE wird Teil des DVGW</w:t>
      </w:r>
    </w:p>
    <w:p w:rsidR="000F4BCA" w:rsidRPr="004C5BD1" w:rsidRDefault="000F4BCA" w:rsidP="000F4BCA">
      <w:pPr>
        <w:rPr>
          <w:rFonts w:ascii="TheSans" w:hAnsi="TheSans"/>
        </w:rPr>
      </w:pPr>
    </w:p>
    <w:p w:rsidR="000F4BCA" w:rsidRPr="004C5BD1" w:rsidRDefault="000F4BCA" w:rsidP="000F4BCA">
      <w:pPr>
        <w:rPr>
          <w:rFonts w:ascii="TheSans" w:hAnsi="TheSans"/>
        </w:rPr>
        <w:sectPr w:rsidR="000F4BCA" w:rsidRPr="004C5BD1" w:rsidSect="000F4BCA">
          <w:headerReference w:type="default" r:id="rId8"/>
          <w:footerReference w:type="default" r:id="rId9"/>
          <w:type w:val="continuous"/>
          <w:pgSz w:w="11906" w:h="16838"/>
          <w:pgMar w:top="2242" w:right="707" w:bottom="1134" w:left="709" w:header="568" w:footer="708" w:gutter="0"/>
          <w:cols w:space="708"/>
          <w:docGrid w:linePitch="360"/>
        </w:sectPr>
      </w:pPr>
    </w:p>
    <w:p w:rsidR="005A7385" w:rsidRPr="005A7385" w:rsidRDefault="006A0F5B" w:rsidP="005A7385">
      <w:pPr>
        <w:rPr>
          <w:rFonts w:ascii="TheSans" w:hAnsi="TheSans"/>
        </w:rPr>
      </w:pPr>
      <w:r>
        <w:rPr>
          <w:rFonts w:ascii="TheSans" w:hAnsi="TheSans"/>
        </w:rPr>
        <w:lastRenderedPageBreak/>
        <w:t>Berlin, 27</w:t>
      </w:r>
      <w:r w:rsidR="005A7385" w:rsidRPr="005A7385">
        <w:rPr>
          <w:rFonts w:ascii="TheSans" w:hAnsi="TheSans"/>
        </w:rPr>
        <w:t xml:space="preserve">. August 2021 – Der Deutsche Verein des Gas- und Wasserfaches (DVGW) und die Arbeitsgemeinschaft für sparsamen und umweltfreundlichen Energieverbrauch (ASUE) haben </w:t>
      </w:r>
      <w:r w:rsidR="000444D7">
        <w:rPr>
          <w:rFonts w:ascii="TheSans" w:hAnsi="TheSans"/>
        </w:rPr>
        <w:t>gestern</w:t>
      </w:r>
      <w:r w:rsidR="005A7385" w:rsidRPr="005A7385">
        <w:rPr>
          <w:rFonts w:ascii="TheSans" w:hAnsi="TheSans"/>
        </w:rPr>
        <w:t xml:space="preserve"> in Berlin die Integration der ASUE in den DVGW vertraglich besiegelt. Sie zielt darauf ab, die Tätigkeit der ASUE unter Einbindung der Ressourcen des DVGW bestmöglich fortzuführen und ihr Know-how und ihre Expertise zu sichern. Im Fokus stehen dabei die Themen Effizienz und Wasserstofftransformation der Gaswirtschaft.</w:t>
      </w:r>
    </w:p>
    <w:p w:rsidR="005A7385" w:rsidRPr="005A7385" w:rsidRDefault="005A7385" w:rsidP="005A7385">
      <w:pPr>
        <w:pStyle w:val="berschrift2"/>
      </w:pPr>
      <w:r w:rsidRPr="005A7385">
        <w:t>Die Gaswirtschaft und die Energiewende</w:t>
      </w:r>
    </w:p>
    <w:p w:rsidR="005A7385" w:rsidRPr="005A7385" w:rsidRDefault="005A7385" w:rsidP="005A7385">
      <w:pPr>
        <w:rPr>
          <w:rFonts w:ascii="TheSans" w:hAnsi="TheSans"/>
        </w:rPr>
      </w:pPr>
      <w:r w:rsidRPr="005A7385">
        <w:rPr>
          <w:rFonts w:ascii="TheSans" w:hAnsi="TheSans"/>
        </w:rPr>
        <w:t xml:space="preserve">Die öffentliche Diskussion über Klimawandel und Energiewende drängt die Gaswirtschaft zum Handeln. In den letzten Jahren erfuhren die Netze </w:t>
      </w:r>
      <w:r w:rsidRPr="005A7385">
        <w:rPr>
          <w:rFonts w:ascii="TheSans" w:hAnsi="TheSans"/>
        </w:rPr>
        <w:lastRenderedPageBreak/>
        <w:t xml:space="preserve">multiple Änderungen und auch die Zusammensetzung der Marktteilnehmer konsolidierte sich. So fusionierten beispielsweise RWE und </w:t>
      </w:r>
      <w:proofErr w:type="spellStart"/>
      <w:r w:rsidRPr="005A7385">
        <w:rPr>
          <w:rFonts w:ascii="TheSans" w:hAnsi="TheSans"/>
        </w:rPr>
        <w:t>Innogy</w:t>
      </w:r>
      <w:proofErr w:type="spellEnd"/>
      <w:r w:rsidRPr="005A7385">
        <w:rPr>
          <w:rFonts w:ascii="TheSans" w:hAnsi="TheSans"/>
        </w:rPr>
        <w:t xml:space="preserve"> und stellten ihre Geschäftsbereiche auf zukunftsfähige Konzepte um.</w:t>
      </w:r>
    </w:p>
    <w:p w:rsidR="006A0F5B" w:rsidRDefault="005A7385" w:rsidP="005A7385">
      <w:pPr>
        <w:rPr>
          <w:rFonts w:ascii="TheSans" w:hAnsi="TheSans"/>
        </w:rPr>
        <w:sectPr w:rsidR="006A0F5B" w:rsidSect="003C399C">
          <w:type w:val="continuous"/>
          <w:pgSz w:w="11906" w:h="16838"/>
          <w:pgMar w:top="2552" w:right="707" w:bottom="1134" w:left="709" w:header="568" w:footer="708" w:gutter="0"/>
          <w:cols w:num="2" w:space="708"/>
          <w:docGrid w:linePitch="360"/>
        </w:sectPr>
      </w:pPr>
      <w:r w:rsidRPr="005A7385">
        <w:rPr>
          <w:rFonts w:ascii="TheSans" w:hAnsi="TheSans"/>
        </w:rPr>
        <w:t>Für die ASUE und andere Verbände der Gas- und Energiewirtschaft bedeuten diese Umstellungen ebenfalls Veränderungen. Der Markt bereinigte sich ein Stück weit, während sich neuartige Effizienz-Technologien erfolgreich behaupten konnten. Nun werden diese Technologien und ihre Anwendung durch die Einführung von Wasserstoff einer neuerlichen Prüfung unterzogen, an der sich die ASUE mit ihren beliebten Veröffentlichungen gerne beteiligt.</w:t>
      </w:r>
    </w:p>
    <w:p w:rsidR="006A0F5B" w:rsidRDefault="006A0F5B" w:rsidP="005A7385">
      <w:pPr>
        <w:rPr>
          <w:rFonts w:ascii="TheSans" w:hAnsi="TheSans"/>
        </w:rPr>
      </w:pPr>
    </w:p>
    <w:p w:rsidR="006A0F5B" w:rsidRDefault="006A0F5B" w:rsidP="006A0F5B">
      <w:pPr>
        <w:keepNext/>
        <w:jc w:val="center"/>
      </w:pPr>
      <w:r>
        <w:rPr>
          <w:rFonts w:ascii="TheSans" w:hAnsi="TheSans"/>
          <w:noProof/>
          <w:lang w:eastAsia="de-DE"/>
        </w:rPr>
        <w:drawing>
          <wp:inline distT="0" distB="0" distL="0" distR="0" wp14:anchorId="770F1B66" wp14:editId="199B1B68">
            <wp:extent cx="5457825" cy="3635944"/>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5290" cy="3654241"/>
                    </a:xfrm>
                    <a:prstGeom prst="rect">
                      <a:avLst/>
                    </a:prstGeom>
                    <a:noFill/>
                    <a:ln>
                      <a:noFill/>
                    </a:ln>
                  </pic:spPr>
                </pic:pic>
              </a:graphicData>
            </a:graphic>
          </wp:inline>
        </w:drawing>
      </w:r>
    </w:p>
    <w:p w:rsidR="006A0F5B" w:rsidRPr="005A7385" w:rsidRDefault="006A0F5B" w:rsidP="006A0F5B">
      <w:pPr>
        <w:pStyle w:val="Beschriftung"/>
        <w:jc w:val="center"/>
        <w:rPr>
          <w:rFonts w:ascii="TheSans" w:hAnsi="TheSans"/>
        </w:rPr>
      </w:pPr>
      <w:r w:rsidRPr="000876FF">
        <w:t xml:space="preserve">Nach der </w:t>
      </w:r>
      <w:proofErr w:type="spellStart"/>
      <w:r w:rsidRPr="000876FF">
        <w:t>Vetragsunterzeichnung</w:t>
      </w:r>
      <w:proofErr w:type="spellEnd"/>
      <w:r>
        <w:t xml:space="preserve"> (v.l.n.r.)</w:t>
      </w:r>
      <w:r w:rsidRPr="000876FF">
        <w:t>: Matthias Trunk (Mitglied des ASUE-Präsidiums und Vorstandsmitglied der GASAG)</w:t>
      </w:r>
      <w:r>
        <w:t xml:space="preserve">, </w:t>
      </w:r>
      <w:r w:rsidRPr="000876FF">
        <w:t>Jürgen Stefan Kukuk (ASUE-Geschäftsführer),</w:t>
      </w:r>
      <w:r>
        <w:t xml:space="preserve"> Dr. Volker</w:t>
      </w:r>
      <w:r w:rsidRPr="000876FF">
        <w:t xml:space="preserve"> </w:t>
      </w:r>
      <w:r>
        <w:t xml:space="preserve">Bartsch (Repräsentant Berlin des DVGW e. V.) </w:t>
      </w:r>
      <w:r w:rsidRPr="000876FF">
        <w:t>und Hans-Joachim Polk (ASUE-Präsident und Vorstand Infrastruktur &amp; Technik bei der VNG AG)</w:t>
      </w:r>
      <w:r w:rsidR="00D522DB">
        <w:t>. Bild: DVGW/</w:t>
      </w:r>
      <w:bookmarkStart w:id="0" w:name="_GoBack"/>
      <w:bookmarkEnd w:id="0"/>
      <w:r w:rsidR="00D522DB">
        <w:t xml:space="preserve">Jörg </w:t>
      </w:r>
      <w:proofErr w:type="spellStart"/>
      <w:r w:rsidR="00D522DB">
        <w:t>Görigk</w:t>
      </w:r>
      <w:proofErr w:type="spellEnd"/>
    </w:p>
    <w:p w:rsidR="006A0F5B" w:rsidRDefault="006A0F5B" w:rsidP="005A7385">
      <w:pPr>
        <w:pStyle w:val="berschrift2"/>
        <w:sectPr w:rsidR="006A0F5B" w:rsidSect="006A0F5B">
          <w:type w:val="continuous"/>
          <w:pgSz w:w="11906" w:h="16838"/>
          <w:pgMar w:top="2552" w:right="707" w:bottom="1134" w:left="709" w:header="568" w:footer="708" w:gutter="0"/>
          <w:cols w:space="708"/>
          <w:docGrid w:linePitch="360"/>
        </w:sectPr>
      </w:pPr>
    </w:p>
    <w:p w:rsidR="005A7385" w:rsidRPr="005A7385" w:rsidRDefault="005A7385" w:rsidP="005A7385">
      <w:pPr>
        <w:pStyle w:val="berschrift2"/>
      </w:pPr>
      <w:r w:rsidRPr="005A7385">
        <w:lastRenderedPageBreak/>
        <w:t>Jürgen Kukuk in den Ruhestand verabschiedet</w:t>
      </w:r>
    </w:p>
    <w:p w:rsidR="005A7385" w:rsidRPr="005A7385" w:rsidRDefault="005A7385" w:rsidP="005A7385">
      <w:pPr>
        <w:rPr>
          <w:rFonts w:ascii="TheSans" w:hAnsi="TheSans"/>
        </w:rPr>
      </w:pPr>
      <w:r w:rsidRPr="005A7385">
        <w:rPr>
          <w:rFonts w:ascii="TheSans" w:hAnsi="TheSans"/>
        </w:rPr>
        <w:t xml:space="preserve">Mit der Integration in den DVGW werden die Informations- und Kommunikationsarbeit der ASUE ebenso wie ihre Gremien unter einer fachlichen Anpassung optimiert. Durch den direkteren Zugriff auf Informationen und durch schlankere Strukturen können DVGW-Forschungsergebnisse ebenso wie technologische Marktübersichten noch umfassender in eine öffentlichkeitsgerechte Form gebracht werden. </w:t>
      </w:r>
    </w:p>
    <w:p w:rsidR="005A7385" w:rsidRDefault="005A7385" w:rsidP="00FB415E">
      <w:pPr>
        <w:spacing w:after="240"/>
        <w:rPr>
          <w:rFonts w:ascii="TheSans" w:hAnsi="TheSans"/>
        </w:rPr>
      </w:pPr>
      <w:r w:rsidRPr="005A7385">
        <w:rPr>
          <w:rFonts w:ascii="TheSans" w:hAnsi="TheSans"/>
        </w:rPr>
        <w:t>Mit der Integration tritt unser langjähriger Geschäftsführer Jürgen Stefan Kukuk in den Ruhestand. Resümierend hält er fest: „</w:t>
      </w:r>
      <w:r w:rsidRPr="005A7385">
        <w:rPr>
          <w:rFonts w:ascii="TheSans" w:hAnsi="TheSans"/>
          <w:i/>
        </w:rPr>
        <w:t>Die Herausforderungen im Zusammenhang mit einer klimaschonenderen Energieversorgung erfordern die Bündelung von Kräften auch seitens der Verbände. Wir freuen uns, dass das spezifische ASUE-Know-how im DVGW eine valide Perspektive erhält und in das weit verzweigte Kompetenznetzwerk des Vereins einfließt, das diesen Herausforderungen erfolgreich begegnet</w:t>
      </w:r>
      <w:r w:rsidRPr="005A7385">
        <w:rPr>
          <w:rFonts w:ascii="TheSans" w:hAnsi="TheSans"/>
        </w:rPr>
        <w:t>.“</w:t>
      </w:r>
    </w:p>
    <w:p w:rsidR="005A7385" w:rsidRDefault="006A0F5B" w:rsidP="005A7385">
      <w:pPr>
        <w:rPr>
          <w:rFonts w:ascii="TheSans" w:hAnsi="TheSans"/>
        </w:rPr>
      </w:pPr>
      <w:r w:rsidRPr="004C5BD1">
        <w:rPr>
          <w:rFonts w:ascii="TheSans" w:hAnsi="TheSans"/>
          <w:noProof/>
          <w:lang w:eastAsia="de-DE"/>
        </w:rPr>
        <w:drawing>
          <wp:anchor distT="0" distB="0" distL="114300" distR="114300" simplePos="0" relativeHeight="251658240" behindDoc="0" locked="0" layoutInCell="1" allowOverlap="1" wp14:anchorId="739F4DF1" wp14:editId="417E04D8">
            <wp:simplePos x="0" y="0"/>
            <wp:positionH relativeFrom="page">
              <wp:align>right</wp:align>
            </wp:positionH>
            <wp:positionV relativeFrom="paragraph">
              <wp:posOffset>1135380</wp:posOffset>
            </wp:positionV>
            <wp:extent cx="3104515" cy="3806190"/>
            <wp:effectExtent l="0" t="0" r="635" b="381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515" cy="380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7385" w:rsidRPr="005A7385">
        <w:rPr>
          <w:rFonts w:ascii="TheSans" w:hAnsi="TheSans"/>
        </w:rPr>
        <w:t xml:space="preserve">Für Hans-Joachim Polk, Vorstand Infrastruktur und Technik der VNG AG, endet mit der Integration auch seine mehr als dreijährige Amtszeit als </w:t>
      </w:r>
      <w:r>
        <w:rPr>
          <w:rFonts w:ascii="TheSans" w:hAnsi="TheSans"/>
        </w:rPr>
        <w:br w:type="column"/>
      </w:r>
      <w:r w:rsidR="005A7385" w:rsidRPr="005A7385">
        <w:rPr>
          <w:rFonts w:ascii="TheSans" w:hAnsi="TheSans"/>
        </w:rPr>
        <w:lastRenderedPageBreak/>
        <w:t>Präsident der ASUE. Er hatte die Aufgabe am 24. Mai 2018 übernommen, nachdem Dr. Ludwig Möhring aus dem Amt scheiden musste. „</w:t>
      </w:r>
      <w:r w:rsidR="005A7385" w:rsidRPr="005A7385">
        <w:rPr>
          <w:rFonts w:ascii="TheSans" w:hAnsi="TheSans"/>
          <w:i/>
        </w:rPr>
        <w:t xml:space="preserve">Die Funktion als ASUE-Präsident hat mir immer wieder vor Augen geführt, wie wichtig die Aufklärung über sparsame und umweltschonende Technologien auf </w:t>
      </w:r>
      <w:proofErr w:type="spellStart"/>
      <w:r w:rsidR="005A7385" w:rsidRPr="005A7385">
        <w:rPr>
          <w:rFonts w:ascii="TheSans" w:hAnsi="TheSans"/>
          <w:i/>
        </w:rPr>
        <w:t>Gasbasis</w:t>
      </w:r>
      <w:proofErr w:type="spellEnd"/>
      <w:r w:rsidR="005A7385" w:rsidRPr="005A7385">
        <w:rPr>
          <w:rFonts w:ascii="TheSans" w:hAnsi="TheSans"/>
          <w:i/>
        </w:rPr>
        <w:t xml:space="preserve"> ist und bis auf Weiteres bleibt. Von den Synergien, die durch die Integration in den DVGW freigesetzt werden, profitieren Industrie, Fachunternehmen, Architekten, Planer sowie Endanwender durch eine effektivere Aufarbeitung der Themen und weiterhin professionelle Veranstaltungsformate. Ich danke den Mitarbeiterinnen und Mitarbeitern der ASUE unter der Leitung von Jürgen Kukuk ausdrücklich für die erfolgreiche Arbeit und wünsche ihnen für die Fortführung ihrer Aufgaben im DVGW alles Gute.</w:t>
      </w:r>
      <w:r w:rsidR="005A7385" w:rsidRPr="005A7385">
        <w:rPr>
          <w:rFonts w:ascii="TheSans" w:hAnsi="TheSans"/>
        </w:rPr>
        <w:t>“</w:t>
      </w:r>
    </w:p>
    <w:p w:rsidR="00D9670A" w:rsidRPr="004C5BD1" w:rsidRDefault="005A7385" w:rsidP="00D9670A">
      <w:pPr>
        <w:rPr>
          <w:rFonts w:ascii="TheSans" w:hAnsi="TheSans"/>
        </w:rPr>
      </w:pPr>
      <w:r w:rsidRPr="005A7385">
        <w:rPr>
          <w:rFonts w:ascii="TheSans" w:hAnsi="TheSans"/>
        </w:rPr>
        <w:t>Die Mitarbeiter und Mitarbeiterinnen unserer Geschäftsstelle wechseln im Rahmen der Integration in den DVGW und setzen ihre bisherige Arbeit nach einer fachlichen Anpassung an die Strukturen des DVGW fort.</w:t>
      </w:r>
    </w:p>
    <w:sectPr w:rsidR="00D9670A" w:rsidRPr="004C5BD1" w:rsidSect="00B243DB">
      <w:footerReference w:type="default" r:id="rId12"/>
      <w:pgSz w:w="11906" w:h="16838"/>
      <w:pgMar w:top="2268" w:right="707" w:bottom="1134" w:left="709" w:header="56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DCC" w:rsidRDefault="002D0DCC" w:rsidP="004710D2">
      <w:pPr>
        <w:spacing w:after="0"/>
      </w:pPr>
      <w:r>
        <w:separator/>
      </w:r>
    </w:p>
    <w:p w:rsidR="002D0DCC" w:rsidRDefault="002D0DCC"/>
  </w:endnote>
  <w:endnote w:type="continuationSeparator" w:id="0">
    <w:p w:rsidR="002D0DCC" w:rsidRDefault="002D0DCC" w:rsidP="004710D2">
      <w:pPr>
        <w:spacing w:after="0"/>
      </w:pPr>
      <w:r>
        <w:continuationSeparator/>
      </w:r>
    </w:p>
    <w:p w:rsidR="002D0DCC" w:rsidRDefault="002D0D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
    <w:altName w:val="Corbel"/>
    <w:charset w:val="00"/>
    <w:family w:val="auto"/>
    <w:pitch w:val="variable"/>
    <w:sig w:usb0="00000003" w:usb1="00000000" w:usb2="00000000" w:usb3="00000000" w:csb0="00000001" w:csb1="00000000"/>
  </w:font>
  <w:font w:name="TheSans-B7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F2A" w:rsidRPr="004C5BD1" w:rsidRDefault="00F15F2A" w:rsidP="00B243DB">
    <w:pPr>
      <w:pStyle w:val="Fuzeile"/>
      <w:tabs>
        <w:tab w:val="clear" w:pos="9072"/>
        <w:tab w:val="right" w:pos="10490"/>
      </w:tabs>
      <w:rPr>
        <w:rFonts w:ascii="TheSans" w:hAnsi="TheSans"/>
        <w:color w:val="0070B8"/>
      </w:rPr>
    </w:pPr>
    <w:r w:rsidRPr="004C5BD1">
      <w:rPr>
        <w:rFonts w:ascii="TheSans" w:hAnsi="TheSans"/>
        <w:color w:val="0070B8"/>
      </w:rPr>
      <w:t xml:space="preserve">Seite </w:t>
    </w:r>
    <w:sdt>
      <w:sdtPr>
        <w:rPr>
          <w:rFonts w:ascii="TheSans" w:hAnsi="TheSans"/>
          <w:color w:val="0070B8"/>
        </w:rPr>
        <w:id w:val="-922184462"/>
        <w:docPartObj>
          <w:docPartGallery w:val="Page Numbers (Bottom of Page)"/>
          <w:docPartUnique/>
        </w:docPartObj>
      </w:sdtPr>
      <w:sdtEndPr/>
      <w:sdtContent>
        <w:r w:rsidRPr="004C5BD1">
          <w:rPr>
            <w:rFonts w:ascii="TheSans" w:hAnsi="TheSans"/>
            <w:color w:val="0070B8"/>
          </w:rPr>
          <w:fldChar w:fldCharType="begin"/>
        </w:r>
        <w:r w:rsidRPr="004C5BD1">
          <w:rPr>
            <w:rFonts w:ascii="TheSans" w:hAnsi="TheSans"/>
            <w:color w:val="0070B8"/>
          </w:rPr>
          <w:instrText>PAGE   \* MERGEFORMAT</w:instrText>
        </w:r>
        <w:r w:rsidRPr="004C5BD1">
          <w:rPr>
            <w:rFonts w:ascii="TheSans" w:hAnsi="TheSans"/>
            <w:color w:val="0070B8"/>
          </w:rPr>
          <w:fldChar w:fldCharType="separate"/>
        </w:r>
        <w:r w:rsidR="00D522DB">
          <w:rPr>
            <w:rFonts w:ascii="TheSans" w:hAnsi="TheSans"/>
            <w:noProof/>
            <w:color w:val="0070B8"/>
          </w:rPr>
          <w:t>1</w:t>
        </w:r>
        <w:r w:rsidRPr="004C5BD1">
          <w:rPr>
            <w:rFonts w:ascii="TheSans" w:hAnsi="TheSans"/>
            <w:color w:val="0070B8"/>
          </w:rPr>
          <w:fldChar w:fldCharType="end"/>
        </w:r>
      </w:sdtContent>
    </w:sdt>
    <w:r w:rsidR="00B243DB" w:rsidRPr="004C5BD1">
      <w:rPr>
        <w:rFonts w:ascii="TheSans" w:hAnsi="TheSans"/>
        <w:color w:val="0070B8"/>
      </w:rPr>
      <w:tab/>
    </w:r>
    <w:r w:rsidR="00B243DB" w:rsidRPr="004C5BD1">
      <w:rPr>
        <w:rFonts w:ascii="TheSans" w:hAnsi="TheSans"/>
        <w:color w:val="0070B8"/>
      </w:rPr>
      <w:tab/>
      <w:t>www.asue.de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F2A" w:rsidRPr="00F15F2A" w:rsidRDefault="00F15F2A">
    <w:pPr>
      <w:pStyle w:val="Fuzeile"/>
      <w:rPr>
        <w:color w:val="0070B8"/>
      </w:rPr>
    </w:pPr>
    <w:r w:rsidRPr="00F15F2A">
      <w:rPr>
        <w:color w:val="0070B8"/>
      </w:rPr>
      <w:t xml:space="preserve">Seite </w:t>
    </w:r>
    <w:sdt>
      <w:sdtPr>
        <w:rPr>
          <w:color w:val="0070B8"/>
        </w:rPr>
        <w:id w:val="-1745179617"/>
        <w:docPartObj>
          <w:docPartGallery w:val="Page Numbers (Bottom of Page)"/>
          <w:docPartUnique/>
        </w:docPartObj>
      </w:sdtPr>
      <w:sdtEndPr/>
      <w:sdtContent>
        <w:r w:rsidRPr="00F15F2A">
          <w:rPr>
            <w:color w:val="0070B8"/>
          </w:rPr>
          <w:fldChar w:fldCharType="begin"/>
        </w:r>
        <w:r w:rsidRPr="00F15F2A">
          <w:rPr>
            <w:color w:val="0070B8"/>
          </w:rPr>
          <w:instrText>PAGE   \* MERGEFORMAT</w:instrText>
        </w:r>
        <w:r w:rsidRPr="00F15F2A">
          <w:rPr>
            <w:color w:val="0070B8"/>
          </w:rPr>
          <w:fldChar w:fldCharType="separate"/>
        </w:r>
        <w:r w:rsidR="00D522DB">
          <w:rPr>
            <w:noProof/>
            <w:color w:val="0070B8"/>
          </w:rPr>
          <w:t>2</w:t>
        </w:r>
        <w:r w:rsidRPr="00F15F2A">
          <w:rPr>
            <w:color w:val="0070B8"/>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DCC" w:rsidRDefault="002D0DCC" w:rsidP="004710D2">
      <w:pPr>
        <w:spacing w:after="0"/>
      </w:pPr>
      <w:r>
        <w:separator/>
      </w:r>
    </w:p>
    <w:p w:rsidR="002D0DCC" w:rsidRDefault="002D0DCC"/>
  </w:footnote>
  <w:footnote w:type="continuationSeparator" w:id="0">
    <w:p w:rsidR="002D0DCC" w:rsidRDefault="002D0DCC" w:rsidP="004710D2">
      <w:pPr>
        <w:spacing w:after="0"/>
      </w:pPr>
      <w:r>
        <w:continuationSeparator/>
      </w:r>
    </w:p>
    <w:p w:rsidR="002D0DCC" w:rsidRDefault="002D0DC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0D2" w:rsidRDefault="000F4BCA" w:rsidP="004710D2">
    <w:pPr>
      <w:pStyle w:val="Kopfzeile"/>
      <w:ind w:left="-142"/>
    </w:pPr>
    <w:r>
      <w:rPr>
        <w:noProof/>
        <w:lang w:eastAsia="de-DE"/>
      </w:rPr>
      <mc:AlternateContent>
        <mc:Choice Requires="wps">
          <w:drawing>
            <wp:anchor distT="0" distB="0" distL="114300" distR="114300" simplePos="0" relativeHeight="251660288" behindDoc="0" locked="0" layoutInCell="1" allowOverlap="1" wp14:anchorId="1E3B9D6C" wp14:editId="7012EA82">
              <wp:simplePos x="0" y="0"/>
              <wp:positionH relativeFrom="column">
                <wp:posOffset>4055111</wp:posOffset>
              </wp:positionH>
              <wp:positionV relativeFrom="paragraph">
                <wp:posOffset>-36830</wp:posOffset>
              </wp:positionV>
              <wp:extent cx="2708910" cy="618409"/>
              <wp:effectExtent l="0" t="0" r="0" b="0"/>
              <wp:wrapNone/>
              <wp:docPr id="5" name="Textfeld 5"/>
              <wp:cNvGraphicFramePr/>
              <a:graphic xmlns:a="http://schemas.openxmlformats.org/drawingml/2006/main">
                <a:graphicData uri="http://schemas.microsoft.com/office/word/2010/wordprocessingShape">
                  <wps:wsp>
                    <wps:cNvSpPr txBox="1"/>
                    <wps:spPr>
                      <a:xfrm>
                        <a:off x="0" y="0"/>
                        <a:ext cx="2708910" cy="618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BCA" w:rsidRDefault="005A7385" w:rsidP="000F4BCA">
                          <w:pPr>
                            <w:spacing w:line="260" w:lineRule="exact"/>
                            <w:jc w:val="right"/>
                            <w:rPr>
                              <w:rFonts w:ascii="TheSans" w:hAnsi="TheSans"/>
                              <w:b/>
                              <w:color w:val="FFFFFF" w:themeColor="background1"/>
                            </w:rPr>
                          </w:pPr>
                          <w:r w:rsidRPr="005A7385">
                            <w:rPr>
                              <w:rFonts w:ascii="TheSans" w:hAnsi="TheSans"/>
                              <w:b/>
                              <w:color w:val="FFFFFF" w:themeColor="background1"/>
                            </w:rPr>
                            <w:t>Die ASUE wird Teil des DVGW</w:t>
                          </w:r>
                        </w:p>
                        <w:p w:rsidR="006A0F5B" w:rsidRPr="004C5BD1" w:rsidRDefault="006A0F5B" w:rsidP="000F4BCA">
                          <w:pPr>
                            <w:spacing w:line="260" w:lineRule="exact"/>
                            <w:jc w:val="right"/>
                            <w:rPr>
                              <w:rFonts w:ascii="TheSans" w:hAnsi="TheSans"/>
                              <w:b/>
                              <w:color w:val="FFFFFF" w:themeColor="background1"/>
                            </w:rPr>
                          </w:pPr>
                          <w:r>
                            <w:rPr>
                              <w:rFonts w:ascii="TheSans" w:hAnsi="TheSans"/>
                              <w:b/>
                              <w:color w:val="FFFFFF" w:themeColor="background1"/>
                            </w:rPr>
                            <w:t>Jürgen Kukuk geht in den Ruhestand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B9D6C" id="_x0000_t202" coordsize="21600,21600" o:spt="202" path="m,l,21600r21600,l21600,xe">
              <v:stroke joinstyle="miter"/>
              <v:path gradientshapeok="t" o:connecttype="rect"/>
            </v:shapetype>
            <v:shape id="Textfeld 5" o:spid="_x0000_s1026" type="#_x0000_t202" style="position:absolute;left:0;text-align:left;margin-left:319.3pt;margin-top:-2.9pt;width:213.3pt;height:4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" filled="f" stroked="f" strokeweight=".5pt">
              <v:textbox>
                <w:txbxContent>
                  <w:p w:rsidR="000F4BCA" w:rsidRDefault="005A7385" w:rsidP="000F4BCA">
                    <w:pPr>
                      <w:spacing w:line="260" w:lineRule="exact"/>
                      <w:jc w:val="right"/>
                      <w:rPr>
                        <w:rFonts w:ascii="TheSans" w:hAnsi="TheSans"/>
                        <w:b/>
                        <w:color w:val="FFFFFF" w:themeColor="background1"/>
                      </w:rPr>
                    </w:pPr>
                    <w:r w:rsidRPr="005A7385">
                      <w:rPr>
                        <w:rFonts w:ascii="TheSans" w:hAnsi="TheSans"/>
                        <w:b/>
                        <w:color w:val="FFFFFF" w:themeColor="background1"/>
                      </w:rPr>
                      <w:t>Die ASUE wird Teil des DVGW</w:t>
                    </w:r>
                  </w:p>
                  <w:p w:rsidR="006A0F5B" w:rsidRPr="004C5BD1" w:rsidRDefault="006A0F5B" w:rsidP="000F4BCA">
                    <w:pPr>
                      <w:spacing w:line="260" w:lineRule="exact"/>
                      <w:jc w:val="right"/>
                      <w:rPr>
                        <w:rFonts w:ascii="TheSans" w:hAnsi="TheSans"/>
                        <w:b/>
                        <w:color w:val="FFFFFF" w:themeColor="background1"/>
                      </w:rPr>
                    </w:pPr>
                    <w:r>
                      <w:rPr>
                        <w:rFonts w:ascii="TheSans" w:hAnsi="TheSans"/>
                        <w:b/>
                        <w:color w:val="FFFFFF" w:themeColor="background1"/>
                      </w:rPr>
                      <w:t>Jürgen Kukuk geht in den Ruhestand</w:t>
                    </w:r>
                  </w:p>
                </w:txbxContent>
              </v:textbox>
            </v:shape>
          </w:pict>
        </mc:Fallback>
      </mc:AlternateContent>
    </w:r>
    <w:r w:rsidR="004710D2">
      <w:rPr>
        <w:noProof/>
        <w:lang w:eastAsia="de-DE"/>
      </w:rPr>
      <mc:AlternateContent>
        <mc:Choice Requires="wps">
          <w:drawing>
            <wp:anchor distT="0" distB="0" distL="114300" distR="114300" simplePos="0" relativeHeight="251659264" behindDoc="0" locked="0" layoutInCell="1" allowOverlap="1" wp14:anchorId="20BB78DC" wp14:editId="53185E85">
              <wp:simplePos x="0" y="0"/>
              <wp:positionH relativeFrom="column">
                <wp:posOffset>-1132603</wp:posOffset>
              </wp:positionH>
              <wp:positionV relativeFrom="paragraph">
                <wp:posOffset>-360680</wp:posOffset>
              </wp:positionV>
              <wp:extent cx="8531749" cy="1241946"/>
              <wp:effectExtent l="0" t="0" r="3175" b="0"/>
              <wp:wrapNone/>
              <wp:docPr id="4" name="Rechteck 4"/>
              <wp:cNvGraphicFramePr/>
              <a:graphic xmlns:a="http://schemas.openxmlformats.org/drawingml/2006/main">
                <a:graphicData uri="http://schemas.microsoft.com/office/word/2010/wordprocessingShape">
                  <wps:wsp>
                    <wps:cNvSpPr/>
                    <wps:spPr>
                      <a:xfrm>
                        <a:off x="0" y="0"/>
                        <a:ext cx="8531749" cy="1241946"/>
                      </a:xfrm>
                      <a:prstGeom prst="rect">
                        <a:avLst/>
                      </a:prstGeom>
                      <a:solidFill>
                        <a:srgbClr val="0070B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710D2" w:rsidRDefault="004801C3" w:rsidP="003370A8">
                          <w:pPr>
                            <w:ind w:left="1701" w:hanging="283"/>
                            <w:jc w:val="left"/>
                          </w:pPr>
                          <w:r>
                            <w:rPr>
                              <w:noProof/>
                              <w:lang w:eastAsia="de-DE"/>
                            </w:rPr>
                            <w:drawing>
                              <wp:inline distT="0" distB="0" distL="0" distR="0" wp14:anchorId="7754319E" wp14:editId="7400726E">
                                <wp:extent cx="1571625" cy="5165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007BC3"/>
                                            </a:clrFrom>
                                            <a:clrTo>
                                              <a:srgbClr val="007BC3">
                                                <a:alpha val="0"/>
                                              </a:srgbClr>
                                            </a:clrTo>
                                          </a:clrChange>
                                          <a:extLst>
                                            <a:ext uri="{28A0092B-C50C-407E-A947-70E740481C1C}">
                                              <a14:useLocalDpi xmlns:a14="http://schemas.microsoft.com/office/drawing/2010/main" val="0"/>
                                            </a:ext>
                                          </a:extLst>
                                        </a:blip>
                                        <a:srcRect/>
                                        <a:stretch>
                                          <a:fillRect/>
                                        </a:stretch>
                                      </pic:blipFill>
                                      <pic:spPr bwMode="auto">
                                        <a:xfrm>
                                          <a:off x="0" y="0"/>
                                          <a:ext cx="1575141" cy="517735"/>
                                        </a:xfrm>
                                        <a:prstGeom prst="rect">
                                          <a:avLst/>
                                        </a:prstGeom>
                                        <a:noFill/>
                                        <a:ln>
                                          <a:noFill/>
                                        </a:ln>
                                      </pic:spPr>
                                    </pic:pic>
                                  </a:graphicData>
                                </a:graphic>
                              </wp:inline>
                            </w:drawing>
                          </w:r>
                          <w:r w:rsidR="00C05857">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B78DC" id="Rechteck 4" o:spid="_x0000_s1027" style="position:absolute;left:0;text-align:left;margin-left:-89.2pt;margin-top:-28.4pt;width:671.8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" fillcolor="#0070b8" stroked="f" strokeweight="2pt">
              <v:textbox>
                <w:txbxContent>
                  <w:p w:rsidR="004710D2" w:rsidRDefault="004801C3" w:rsidP="003370A8">
                    <w:pPr>
                      <w:ind w:left="1701" w:hanging="283"/>
                      <w:jc w:val="left"/>
                    </w:pPr>
                    <w:r>
                      <w:rPr>
                        <w:noProof/>
                        <w:lang w:eastAsia="de-DE"/>
                      </w:rPr>
                      <w:drawing>
                        <wp:inline distT="0" distB="0" distL="0" distR="0" wp14:anchorId="7754319E" wp14:editId="7400726E">
                          <wp:extent cx="1571625" cy="5165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clrChange>
                                      <a:clrFrom>
                                        <a:srgbClr val="007BC3"/>
                                      </a:clrFrom>
                                      <a:clrTo>
                                        <a:srgbClr val="007BC3">
                                          <a:alpha val="0"/>
                                        </a:srgbClr>
                                      </a:clrTo>
                                    </a:clrChange>
                                    <a:extLst>
                                      <a:ext uri="{28A0092B-C50C-407E-A947-70E740481C1C}">
                                        <a14:useLocalDpi xmlns:a14="http://schemas.microsoft.com/office/drawing/2010/main" val="0"/>
                                      </a:ext>
                                    </a:extLst>
                                  </a:blip>
                                  <a:srcRect/>
                                  <a:stretch>
                                    <a:fillRect/>
                                  </a:stretch>
                                </pic:blipFill>
                                <pic:spPr bwMode="auto">
                                  <a:xfrm>
                                    <a:off x="0" y="0"/>
                                    <a:ext cx="1575141" cy="517735"/>
                                  </a:xfrm>
                                  <a:prstGeom prst="rect">
                                    <a:avLst/>
                                  </a:prstGeom>
                                  <a:noFill/>
                                  <a:ln>
                                    <a:noFill/>
                                  </a:ln>
                                </pic:spPr>
                              </pic:pic>
                            </a:graphicData>
                          </a:graphic>
                        </wp:inline>
                      </w:drawing>
                    </w:r>
                    <w:r w:rsidR="00C05857">
                      <w:tab/>
                    </w:r>
                  </w:p>
                </w:txbxContent>
              </v:textbox>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12722"/>
    <w:multiLevelType w:val="hybridMultilevel"/>
    <w:tmpl w:val="D430B17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23A06B3F"/>
    <w:multiLevelType w:val="hybridMultilevel"/>
    <w:tmpl w:val="25D0FE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B4C7936"/>
    <w:multiLevelType w:val="hybridMultilevel"/>
    <w:tmpl w:val="A5F078C0"/>
    <w:lvl w:ilvl="0" w:tplc="D5441B8A">
      <w:start w:val="1"/>
      <w:numFmt w:val="bullet"/>
      <w:pStyle w:val="Listenabsatz"/>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8435F0"/>
    <w:multiLevelType w:val="hybridMultilevel"/>
    <w:tmpl w:val="C546CB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2"/>
  </w:num>
  <w:num w:numId="3">
    <w:abstractNumId w:val="0"/>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385"/>
    <w:rsid w:val="00026027"/>
    <w:rsid w:val="0003132E"/>
    <w:rsid w:val="000444D7"/>
    <w:rsid w:val="000A185E"/>
    <w:rsid w:val="000B24B4"/>
    <w:rsid w:val="000D2822"/>
    <w:rsid w:val="000F4BCA"/>
    <w:rsid w:val="00191236"/>
    <w:rsid w:val="001B2619"/>
    <w:rsid w:val="001B28B9"/>
    <w:rsid w:val="00200539"/>
    <w:rsid w:val="00273CDC"/>
    <w:rsid w:val="002D0DCC"/>
    <w:rsid w:val="002D2C56"/>
    <w:rsid w:val="00302826"/>
    <w:rsid w:val="0031569B"/>
    <w:rsid w:val="00333A95"/>
    <w:rsid w:val="003370A8"/>
    <w:rsid w:val="003A5D13"/>
    <w:rsid w:val="003C399C"/>
    <w:rsid w:val="004710D2"/>
    <w:rsid w:val="004801C3"/>
    <w:rsid w:val="004A1DD7"/>
    <w:rsid w:val="004B2199"/>
    <w:rsid w:val="004C5BD1"/>
    <w:rsid w:val="00505E99"/>
    <w:rsid w:val="005123EB"/>
    <w:rsid w:val="00524460"/>
    <w:rsid w:val="005333B7"/>
    <w:rsid w:val="005335ED"/>
    <w:rsid w:val="00537A11"/>
    <w:rsid w:val="005A7385"/>
    <w:rsid w:val="005B7E63"/>
    <w:rsid w:val="005F6AAB"/>
    <w:rsid w:val="00646128"/>
    <w:rsid w:val="00695D76"/>
    <w:rsid w:val="006A0F5B"/>
    <w:rsid w:val="00785C76"/>
    <w:rsid w:val="00821FD2"/>
    <w:rsid w:val="00890CA8"/>
    <w:rsid w:val="0089616F"/>
    <w:rsid w:val="008966F6"/>
    <w:rsid w:val="008A2ED7"/>
    <w:rsid w:val="00917E26"/>
    <w:rsid w:val="00941200"/>
    <w:rsid w:val="00966932"/>
    <w:rsid w:val="00973863"/>
    <w:rsid w:val="009D72A3"/>
    <w:rsid w:val="00A12D42"/>
    <w:rsid w:val="00A47F65"/>
    <w:rsid w:val="00AD26FE"/>
    <w:rsid w:val="00B243DB"/>
    <w:rsid w:val="00B77C65"/>
    <w:rsid w:val="00B83CEC"/>
    <w:rsid w:val="00B936E2"/>
    <w:rsid w:val="00BD3F6D"/>
    <w:rsid w:val="00C05857"/>
    <w:rsid w:val="00C07E77"/>
    <w:rsid w:val="00C20700"/>
    <w:rsid w:val="00C62098"/>
    <w:rsid w:val="00D17174"/>
    <w:rsid w:val="00D522DB"/>
    <w:rsid w:val="00D577DA"/>
    <w:rsid w:val="00D9670A"/>
    <w:rsid w:val="00DB7B16"/>
    <w:rsid w:val="00DF04DA"/>
    <w:rsid w:val="00E648B3"/>
    <w:rsid w:val="00F0147D"/>
    <w:rsid w:val="00F15F2A"/>
    <w:rsid w:val="00F6135A"/>
    <w:rsid w:val="00F9474B"/>
    <w:rsid w:val="00FB41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58E38"/>
  <w15:docId w15:val="{3B98A4D6-BADA-4601-9A1D-0CE60BA6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Arial Unicode MS"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890CA8"/>
    <w:pPr>
      <w:pBdr>
        <w:top w:val="nil"/>
        <w:left w:val="nil"/>
        <w:bottom w:val="nil"/>
        <w:right w:val="nil"/>
        <w:between w:val="nil"/>
        <w:bar w:val="nil"/>
      </w:pBdr>
      <w:spacing w:after="120" w:line="240" w:lineRule="auto"/>
      <w:jc w:val="both"/>
    </w:pPr>
    <w:rPr>
      <w:rFonts w:ascii="Calibri" w:hAnsi="Calibri" w:cs="Times New Roman"/>
      <w:sz w:val="24"/>
      <w:szCs w:val="24"/>
      <w:bdr w:val="nil"/>
    </w:rPr>
  </w:style>
  <w:style w:type="paragraph" w:styleId="berschrift1">
    <w:name w:val="heading 1"/>
    <w:next w:val="Standard"/>
    <w:link w:val="berschrift1Zchn"/>
    <w:uiPriority w:val="9"/>
    <w:qFormat/>
    <w:rsid w:val="00A12D42"/>
    <w:pPr>
      <w:keepNext/>
      <w:keepLines/>
      <w:spacing w:before="480" w:after="0"/>
      <w:outlineLvl w:val="0"/>
    </w:pPr>
    <w:rPr>
      <w:rFonts w:asciiTheme="majorHAnsi" w:eastAsiaTheme="majorEastAsia" w:hAnsiTheme="majorHAnsi" w:cstheme="majorBidi"/>
      <w:b/>
      <w:bCs/>
      <w:color w:val="0070B8"/>
      <w:sz w:val="28"/>
      <w:szCs w:val="28"/>
    </w:rPr>
  </w:style>
  <w:style w:type="paragraph" w:styleId="berschrift2">
    <w:name w:val="heading 2"/>
    <w:basedOn w:val="Standard"/>
    <w:next w:val="Standard"/>
    <w:link w:val="berschrift2Zchn"/>
    <w:uiPriority w:val="9"/>
    <w:unhideWhenUsed/>
    <w:qFormat/>
    <w:rsid w:val="00F15F2A"/>
    <w:pPr>
      <w:keepNext/>
      <w:keepLines/>
      <w:spacing w:before="240"/>
      <w:outlineLvl w:val="1"/>
    </w:pPr>
    <w:rPr>
      <w:rFonts w:eastAsiaTheme="majorEastAsia" w:cstheme="majorBidi"/>
      <w:b/>
      <w:bCs/>
      <w:color w:val="0070B8"/>
      <w:szCs w:val="26"/>
      <w:bdr w:val="none" w:sz="0" w:space="0" w:color="auto"/>
    </w:rPr>
  </w:style>
  <w:style w:type="paragraph" w:styleId="berschrift3">
    <w:name w:val="heading 3"/>
    <w:basedOn w:val="Standard"/>
    <w:next w:val="Standard"/>
    <w:link w:val="berschrift3Zchn"/>
    <w:uiPriority w:val="9"/>
    <w:unhideWhenUsed/>
    <w:qFormat/>
    <w:rsid w:val="00D967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02602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26027"/>
  </w:style>
  <w:style w:type="paragraph" w:styleId="Fuzeile">
    <w:name w:val="footer"/>
    <w:link w:val="FuzeileZchn"/>
    <w:uiPriority w:val="99"/>
    <w:unhideWhenUsed/>
    <w:rsid w:val="0002602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26027"/>
  </w:style>
  <w:style w:type="paragraph" w:styleId="Listenabsatz">
    <w:name w:val="List Paragraph"/>
    <w:basedOn w:val="Standard"/>
    <w:uiPriority w:val="34"/>
    <w:qFormat/>
    <w:rsid w:val="0031569B"/>
    <w:pPr>
      <w:numPr>
        <w:numId w:val="1"/>
      </w:numPr>
      <w:contextualSpacing/>
    </w:pPr>
  </w:style>
  <w:style w:type="character" w:customStyle="1" w:styleId="berschrift1Zchn">
    <w:name w:val="Überschrift 1 Zchn"/>
    <w:basedOn w:val="Absatz-Standardschriftart"/>
    <w:link w:val="berschrift1"/>
    <w:uiPriority w:val="9"/>
    <w:rsid w:val="00A12D42"/>
    <w:rPr>
      <w:rFonts w:asciiTheme="majorHAnsi" w:eastAsiaTheme="majorEastAsia" w:hAnsiTheme="majorHAnsi" w:cstheme="majorBidi"/>
      <w:b/>
      <w:bCs/>
      <w:color w:val="0070B8"/>
      <w:sz w:val="28"/>
      <w:szCs w:val="28"/>
    </w:rPr>
  </w:style>
  <w:style w:type="character" w:customStyle="1" w:styleId="berschrift2Zchn">
    <w:name w:val="Überschrift 2 Zchn"/>
    <w:basedOn w:val="Absatz-Standardschriftart"/>
    <w:link w:val="berschrift2"/>
    <w:uiPriority w:val="9"/>
    <w:rsid w:val="00F15F2A"/>
    <w:rPr>
      <w:rFonts w:ascii="Calibri" w:eastAsiaTheme="majorEastAsia" w:hAnsi="Calibri" w:cstheme="majorBidi"/>
      <w:b/>
      <w:bCs/>
      <w:color w:val="0070B8"/>
      <w:sz w:val="24"/>
      <w:szCs w:val="26"/>
    </w:rPr>
  </w:style>
  <w:style w:type="paragraph" w:styleId="Sprechblasentext">
    <w:name w:val="Balloon Text"/>
    <w:basedOn w:val="Standard"/>
    <w:link w:val="SprechblasentextZchn"/>
    <w:uiPriority w:val="99"/>
    <w:semiHidden/>
    <w:unhideWhenUsed/>
    <w:rsid w:val="004710D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10D2"/>
    <w:rPr>
      <w:rFonts w:ascii="Tahoma" w:hAnsi="Tahoma" w:cs="Tahoma"/>
      <w:sz w:val="16"/>
      <w:szCs w:val="16"/>
      <w:bdr w:val="nil"/>
    </w:rPr>
  </w:style>
  <w:style w:type="paragraph" w:styleId="KeinLeerraum">
    <w:name w:val="No Spacing"/>
    <w:uiPriority w:val="1"/>
    <w:qFormat/>
    <w:rsid w:val="00B243DB"/>
    <w:pPr>
      <w:pBdr>
        <w:top w:val="nil"/>
        <w:left w:val="nil"/>
        <w:bottom w:val="nil"/>
        <w:right w:val="nil"/>
        <w:between w:val="nil"/>
        <w:bar w:val="nil"/>
      </w:pBdr>
      <w:spacing w:after="0" w:line="240" w:lineRule="auto"/>
      <w:jc w:val="both"/>
    </w:pPr>
    <w:rPr>
      <w:rFonts w:ascii="Calibri" w:hAnsi="Calibri" w:cs="Times New Roman"/>
      <w:sz w:val="24"/>
      <w:szCs w:val="24"/>
      <w:bdr w:val="nil"/>
    </w:rPr>
  </w:style>
  <w:style w:type="character" w:styleId="Fett">
    <w:name w:val="Strong"/>
    <w:basedOn w:val="Absatz-Standardschriftart"/>
    <w:uiPriority w:val="22"/>
    <w:qFormat/>
    <w:rsid w:val="00B243DB"/>
    <w:rPr>
      <w:b/>
      <w:bCs/>
    </w:rPr>
  </w:style>
  <w:style w:type="character" w:styleId="Kommentarzeichen">
    <w:name w:val="annotation reference"/>
    <w:basedOn w:val="Absatz-Standardschriftart"/>
    <w:uiPriority w:val="99"/>
    <w:semiHidden/>
    <w:unhideWhenUsed/>
    <w:rsid w:val="000A185E"/>
    <w:rPr>
      <w:sz w:val="16"/>
      <w:szCs w:val="16"/>
    </w:rPr>
  </w:style>
  <w:style w:type="paragraph" w:styleId="Kommentartext">
    <w:name w:val="annotation text"/>
    <w:basedOn w:val="Standard"/>
    <w:link w:val="KommentartextZchn"/>
    <w:uiPriority w:val="99"/>
    <w:semiHidden/>
    <w:unhideWhenUsed/>
    <w:rsid w:val="000A185E"/>
    <w:rPr>
      <w:sz w:val="20"/>
      <w:szCs w:val="20"/>
    </w:rPr>
  </w:style>
  <w:style w:type="character" w:customStyle="1" w:styleId="KommentartextZchn">
    <w:name w:val="Kommentartext Zchn"/>
    <w:basedOn w:val="Absatz-Standardschriftart"/>
    <w:link w:val="Kommentartext"/>
    <w:uiPriority w:val="99"/>
    <w:semiHidden/>
    <w:rsid w:val="000A185E"/>
    <w:rPr>
      <w:rFonts w:ascii="Calibri" w:hAnsi="Calibri" w:cs="Times New Roman"/>
      <w:sz w:val="20"/>
      <w:szCs w:val="20"/>
      <w:bdr w:val="nil"/>
    </w:rPr>
  </w:style>
  <w:style w:type="paragraph" w:styleId="Kommentarthema">
    <w:name w:val="annotation subject"/>
    <w:basedOn w:val="Kommentartext"/>
    <w:next w:val="Kommentartext"/>
    <w:link w:val="KommentarthemaZchn"/>
    <w:uiPriority w:val="99"/>
    <w:semiHidden/>
    <w:unhideWhenUsed/>
    <w:rsid w:val="000A185E"/>
    <w:rPr>
      <w:b/>
      <w:bCs/>
    </w:rPr>
  </w:style>
  <w:style w:type="character" w:customStyle="1" w:styleId="KommentarthemaZchn">
    <w:name w:val="Kommentarthema Zchn"/>
    <w:basedOn w:val="KommentartextZchn"/>
    <w:link w:val="Kommentarthema"/>
    <w:uiPriority w:val="99"/>
    <w:semiHidden/>
    <w:rsid w:val="000A185E"/>
    <w:rPr>
      <w:rFonts w:ascii="Calibri" w:hAnsi="Calibri" w:cs="Times New Roman"/>
      <w:b/>
      <w:bCs/>
      <w:sz w:val="20"/>
      <w:szCs w:val="20"/>
      <w:bdr w:val="nil"/>
    </w:rPr>
  </w:style>
  <w:style w:type="character" w:styleId="Hyperlink">
    <w:name w:val="Hyperlink"/>
    <w:basedOn w:val="Absatz-Standardschriftart"/>
    <w:uiPriority w:val="99"/>
    <w:unhideWhenUsed/>
    <w:rsid w:val="005335ED"/>
    <w:rPr>
      <w:color w:val="0000FF" w:themeColor="hyperlink"/>
      <w:u w:val="single"/>
    </w:rPr>
  </w:style>
  <w:style w:type="character" w:customStyle="1" w:styleId="berschrift3Zchn">
    <w:name w:val="Überschrift 3 Zchn"/>
    <w:basedOn w:val="Absatz-Standardschriftart"/>
    <w:link w:val="berschrift3"/>
    <w:uiPriority w:val="9"/>
    <w:rsid w:val="00D9670A"/>
    <w:rPr>
      <w:rFonts w:asciiTheme="majorHAnsi" w:eastAsiaTheme="majorEastAsia" w:hAnsiTheme="majorHAnsi" w:cstheme="majorBidi"/>
      <w:b/>
      <w:bCs/>
      <w:color w:val="4F81BD" w:themeColor="accent1"/>
      <w:sz w:val="24"/>
      <w:szCs w:val="24"/>
      <w:bdr w:val="nil"/>
    </w:rPr>
  </w:style>
  <w:style w:type="paragraph" w:styleId="Beschriftung">
    <w:name w:val="caption"/>
    <w:basedOn w:val="Standard"/>
    <w:next w:val="Standard"/>
    <w:uiPriority w:val="35"/>
    <w:unhideWhenUsed/>
    <w:qFormat/>
    <w:rsid w:val="00FB415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11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1%20ASUE\2%20operatives\Vorlagen-Logos-Signaturen\EDV\Word\asue-presse%20und%20positione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1E5EB-62F7-4C2F-8336-134DA690F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asue-presse und positionen.dotx</Template>
  <TotalTime>0</TotalTime>
  <Pages>2</Pages>
  <Words>511</Words>
  <Characters>3222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Grüne Gase- Ein maßgeblicher Baustein der Energiewende</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Grüne Gase- Ein maßgeblicher Baustein der Energiewende</dc:title>
  <dc:subject>Biogas, Biomethan, PtG, Flexibilisierung, Ökologie</dc:subject>
  <dc:creator>Thomas Wencker</dc:creator>
  <cp:lastModifiedBy>Thomas Wencker</cp:lastModifiedBy>
  <cp:revision>8</cp:revision>
  <cp:lastPrinted>2021-08-25T12:14:00Z</cp:lastPrinted>
  <dcterms:created xsi:type="dcterms:W3CDTF">2021-08-25T12:04:00Z</dcterms:created>
  <dcterms:modified xsi:type="dcterms:W3CDTF">2021-08-27T08:33:00Z</dcterms:modified>
</cp:coreProperties>
</file>