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ACDD" w14:textId="77777777" w:rsidR="00CD02AB" w:rsidRDefault="009E38F9" w:rsidP="00CD02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80"/>
        <w:jc w:val="left"/>
        <w:rPr>
          <w:rFonts w:asciiTheme="minorHAnsi" w:hAnsiTheme="minorHAnsi" w:cs="TheSans-B7Bold"/>
          <w:b/>
          <w:bCs/>
          <w:color w:val="0070B8"/>
          <w:spacing w:val="-4"/>
          <w:sz w:val="40"/>
          <w:szCs w:val="40"/>
          <w:bdr w:val="none" w:sz="0" w:space="0" w:color="auto"/>
        </w:rPr>
      </w:pPr>
      <w:r>
        <w:rPr>
          <w:rFonts w:asciiTheme="minorHAnsi" w:hAnsiTheme="minorHAnsi" w:cs="TheSans-B7Bold"/>
          <w:b/>
          <w:bCs/>
          <w:color w:val="0070B8"/>
          <w:spacing w:val="-4"/>
          <w:sz w:val="40"/>
          <w:szCs w:val="40"/>
          <w:bdr w:val="none" w:sz="0" w:space="0" w:color="auto"/>
        </w:rPr>
        <w:t>Wärmenetze mit erneuerbaren Gasen: Die Wärmewende</w:t>
      </w:r>
      <w:r>
        <w:rPr>
          <w:rFonts w:asciiTheme="minorHAnsi" w:hAnsiTheme="minorHAnsi" w:cs="TheSans-B7Bold"/>
          <w:b/>
          <w:bCs/>
          <w:color w:val="0070B8"/>
          <w:spacing w:val="-4"/>
          <w:sz w:val="40"/>
          <w:szCs w:val="40"/>
          <w:bdr w:val="none" w:sz="0" w:space="0" w:color="auto"/>
        </w:rPr>
        <w:br/>
        <w:t>im Fokus</w:t>
      </w:r>
    </w:p>
    <w:p w14:paraId="2D845FBF" w14:textId="77777777" w:rsidR="006168EC" w:rsidRDefault="006168EC" w:rsidP="00A154D8">
      <w:pPr>
        <w:sectPr w:rsidR="006168EC" w:rsidSect="00831C2E">
          <w:headerReference w:type="default" r:id="rId8"/>
          <w:footerReference w:type="default" r:id="rId9"/>
          <w:pgSz w:w="11906" w:h="16838"/>
          <w:pgMar w:top="2268" w:right="707" w:bottom="1134" w:left="709" w:header="568" w:footer="708" w:gutter="0"/>
          <w:cols w:space="708"/>
          <w:docGrid w:linePitch="360"/>
        </w:sectPr>
      </w:pPr>
    </w:p>
    <w:p w14:paraId="4A59E479" w14:textId="2330B1B8" w:rsidR="009E38F9" w:rsidRDefault="009E38F9" w:rsidP="009E38F9">
      <w:r>
        <w:lastRenderedPageBreak/>
        <w:t>Berlin, 19. April 2021. Im Jahr 2020 enthielt das deutsche Stromnetz erstmals mehr als 50 % erneuerbare Energie. Im gesamten Primärenergieverbrauch allerdings, der auch den Wärmemarkt abbildet, beträgt der erneuerbare Anteil ganze 16,8 %. Neben der Stromwende muss ein Fokus daher auch auf die Wärmewende setzt werden, wenn die Energiewende gelingen soll. In einem gemeinsamen Beitrag stellen die Arbeitsgemeinschaft für sparsamen und umweltfreundlichen Energieverbrauch e. V. (</w:t>
      </w:r>
      <w:r w:rsidRPr="009E38F9">
        <w:rPr>
          <w:b/>
        </w:rPr>
        <w:t>ASUE</w:t>
      </w:r>
      <w:r>
        <w:t>) und der Bundesverband Kraft-Wärme-Kopplung e. V. (</w:t>
      </w:r>
      <w:r w:rsidRPr="009E38F9">
        <w:rPr>
          <w:b/>
        </w:rPr>
        <w:t>B.KWK</w:t>
      </w:r>
      <w:r>
        <w:t xml:space="preserve">) auf den Berliner Energietagen am 23. April 2021 von 14 bis 16 </w:t>
      </w:r>
      <w:r w:rsidR="003531F6">
        <w:t xml:space="preserve">Uhr </w:t>
      </w:r>
      <w:bookmarkStart w:id="0" w:name="_GoBack"/>
      <w:bookmarkEnd w:id="0"/>
      <w:r>
        <w:t>heraus, wie die Wärmewende gelingen kann.</w:t>
      </w:r>
    </w:p>
    <w:p w14:paraId="759ED7BC" w14:textId="77777777" w:rsidR="009E38F9" w:rsidRDefault="009E38F9" w:rsidP="009E38F9">
      <w:pPr>
        <w:pStyle w:val="berschrift2"/>
      </w:pPr>
      <w:r>
        <w:t>Berliner Energietage 2021: ASUE und B.KWK präsentieren die "Wärmenetze mit erneuerbaren Gasen"</w:t>
      </w:r>
    </w:p>
    <w:p w14:paraId="69C74912" w14:textId="4D58EA98" w:rsidR="009E38F9" w:rsidRDefault="009E38F9" w:rsidP="009E38F9">
      <w:r>
        <w:t>Seit vielen Jahren wird alljährlich auf den Berliner Energietagen ein Schlaglicht auf Zustand und Fortschritt der Energiewende in Deutschland geworfen. Geprägt von Technologieoffenheit und hohem Einsatzwillen tragen sowohl Organisatoren als auch Aussteller und Redner dazu bei, den Blick auf die Umgestaltung des Energiesystems zu stärken.</w:t>
      </w:r>
    </w:p>
    <w:p w14:paraId="6C99CCF5" w14:textId="77777777" w:rsidR="00445AE5" w:rsidRDefault="00250F92" w:rsidP="00445AE5">
      <w:pPr>
        <w:keepNext/>
      </w:pPr>
      <w:r>
        <w:rPr>
          <w:noProof/>
          <w:lang w:eastAsia="de-DE"/>
        </w:rPr>
        <w:drawing>
          <wp:inline distT="0" distB="0" distL="0" distR="0" wp14:anchorId="08A75D4B" wp14:editId="5DD892EB">
            <wp:extent cx="3105785" cy="2071486"/>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105785" cy="2071486"/>
                    </a:xfrm>
                    <a:prstGeom prst="rect">
                      <a:avLst/>
                    </a:prstGeom>
                    <a:noFill/>
                    <a:ln>
                      <a:noFill/>
                    </a:ln>
                  </pic:spPr>
                </pic:pic>
              </a:graphicData>
            </a:graphic>
          </wp:inline>
        </w:drawing>
      </w:r>
    </w:p>
    <w:p w14:paraId="672CB8A3" w14:textId="20E27897" w:rsidR="00250F92" w:rsidRDefault="00445AE5" w:rsidP="00445AE5">
      <w:pPr>
        <w:pStyle w:val="Beschriftung"/>
        <w:jc w:val="left"/>
      </w:pPr>
      <w:r>
        <w:t xml:space="preserve">Abbildung </w:t>
      </w:r>
      <w:r w:rsidR="00BE6A5B">
        <w:fldChar w:fldCharType="begin"/>
      </w:r>
      <w:r w:rsidR="00BE6A5B">
        <w:instrText xml:space="preserve"> SEQ Abbildung \* ARABIC </w:instrText>
      </w:r>
      <w:r w:rsidR="00BE6A5B">
        <w:fldChar w:fldCharType="separate"/>
      </w:r>
      <w:r w:rsidR="005463A1">
        <w:rPr>
          <w:noProof/>
        </w:rPr>
        <w:t>1</w:t>
      </w:r>
      <w:r w:rsidR="00BE6A5B">
        <w:rPr>
          <w:noProof/>
        </w:rPr>
        <w:fldChar w:fldCharType="end"/>
      </w:r>
      <w:r>
        <w:t>: Verlegung eines Nahwärmenetzes.</w:t>
      </w:r>
      <w:r>
        <w:br/>
        <w:t xml:space="preserve">Bild: </w:t>
      </w:r>
      <w:r w:rsidRPr="00445AE5">
        <w:t>REHAU AG + Co</w:t>
      </w:r>
    </w:p>
    <w:p w14:paraId="66CA7990" w14:textId="77777777" w:rsidR="00445AE5" w:rsidRDefault="009E38F9" w:rsidP="009E38F9">
      <w:r>
        <w:lastRenderedPageBreak/>
        <w:t xml:space="preserve">Die ASUE ist seit </w:t>
      </w:r>
      <w:r w:rsidR="009F3C04">
        <w:t xml:space="preserve">vielen </w:t>
      </w:r>
      <w:r>
        <w:t>Jahren ebenfalls regelmäßiger Ausrichter einer Fachveranstaltung im Rahmen der Energietage. In diesem Jahr haben wir uns wieder mit dem Bundesverband Kraft-Wärme-Kopplung (B.KWK) zusammengetan und veranstalten eine branchenübergreifende Fachveranstaltung unter dem Titel "Wärmenetze mit erneuerbaren Gasen". Wir hoffen, mit unserem Beitrag den so wichtigen Fokus auf die Wärmewende zu lenken.</w:t>
      </w:r>
    </w:p>
    <w:p w14:paraId="494FBBEA" w14:textId="77777777" w:rsidR="00445AE5" w:rsidRDefault="00445AE5" w:rsidP="00445AE5">
      <w:pPr>
        <w:keepNext/>
      </w:pPr>
      <w:r>
        <w:rPr>
          <w:noProof/>
          <w:lang w:eastAsia="de-DE"/>
        </w:rPr>
        <w:drawing>
          <wp:inline distT="0" distB="0" distL="0" distR="0" wp14:anchorId="71676B6C" wp14:editId="10041317">
            <wp:extent cx="3105785" cy="205758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105785" cy="2057583"/>
                    </a:xfrm>
                    <a:prstGeom prst="rect">
                      <a:avLst/>
                    </a:prstGeom>
                    <a:noFill/>
                    <a:ln>
                      <a:noFill/>
                    </a:ln>
                  </pic:spPr>
                </pic:pic>
              </a:graphicData>
            </a:graphic>
          </wp:inline>
        </w:drawing>
      </w:r>
    </w:p>
    <w:p w14:paraId="1D4B2875" w14:textId="421B2EA0" w:rsidR="009E38F9" w:rsidRDefault="00445AE5" w:rsidP="00445AE5">
      <w:pPr>
        <w:pStyle w:val="Beschriftung"/>
      </w:pPr>
      <w:r>
        <w:t xml:space="preserve">Abbildung </w:t>
      </w:r>
      <w:r w:rsidR="00BE6A5B">
        <w:fldChar w:fldCharType="begin"/>
      </w:r>
      <w:r w:rsidR="00BE6A5B">
        <w:instrText xml:space="preserve"> SEQ Abbildung \* ARABIC </w:instrText>
      </w:r>
      <w:r w:rsidR="00BE6A5B">
        <w:fldChar w:fldCharType="separate"/>
      </w:r>
      <w:r w:rsidR="005463A1">
        <w:rPr>
          <w:noProof/>
        </w:rPr>
        <w:t>2</w:t>
      </w:r>
      <w:r w:rsidR="00BE6A5B">
        <w:rPr>
          <w:noProof/>
        </w:rPr>
        <w:fldChar w:fldCharType="end"/>
      </w:r>
      <w:r>
        <w:t xml:space="preserve">: Biologische </w:t>
      </w:r>
      <w:proofErr w:type="spellStart"/>
      <w:r>
        <w:t>PtG</w:t>
      </w:r>
      <w:proofErr w:type="spellEnd"/>
      <w:r>
        <w:t>-Anlage. Bild: Viessmann</w:t>
      </w:r>
    </w:p>
    <w:p w14:paraId="675BE013" w14:textId="77777777" w:rsidR="009E38F9" w:rsidRDefault="009E38F9" w:rsidP="009E38F9">
      <w:pPr>
        <w:pStyle w:val="berschrift2"/>
      </w:pPr>
      <w:r>
        <w:t>Wärmenetze: Effiziente Versorgung mit Wärme und Kälte. Klimaneutral mit Biogas/Biomethan und Wasserstoff</w:t>
      </w:r>
    </w:p>
    <w:p w14:paraId="4AB0355C" w14:textId="76186A0D" w:rsidR="009E38F9" w:rsidRDefault="009E38F9" w:rsidP="009E38F9">
      <w:r>
        <w:t xml:space="preserve">Wärmenetze müssen zukünftig </w:t>
      </w:r>
      <w:r w:rsidR="00987418">
        <w:t xml:space="preserve">forciert </w:t>
      </w:r>
      <w:r>
        <w:t xml:space="preserve">ausgebaut werden. Denn die zentralen Gemeinschaftsanlagen sind allemal effizienter als die vielfach installierten Einzelheizungen in Wohnungen oder Einfamilienhäusern. Dabei gilt es, den Primärenergiefaktor dieser Netze </w:t>
      </w:r>
      <w:r w:rsidR="009F3C04">
        <w:t>ü</w:t>
      </w:r>
      <w:r w:rsidR="009F3C04" w:rsidRPr="009F3C04">
        <w:t>ber eine effiziente Stromerzeugung oder durch</w:t>
      </w:r>
      <w:r>
        <w:t xml:space="preserve"> einen möglichst großen Anteil erneuerbarer Energien </w:t>
      </w:r>
      <w:r w:rsidR="009F3C04">
        <w:t xml:space="preserve">so niedrig wie möglich zu </w:t>
      </w:r>
      <w:r w:rsidR="00987418">
        <w:t>halten.</w:t>
      </w:r>
      <w:r>
        <w:t xml:space="preserve"> Für eine versorgungssichere Ausgestaltung ist es dabei wichtig neben dem unverzichtbaren Strom aus Sonne und Wind auch übersaisonal speicherbare, molekulare Medien mit einzubinden.</w:t>
      </w:r>
    </w:p>
    <w:p w14:paraId="64FBD8F2" w14:textId="456072B9" w:rsidR="009E38F9" w:rsidRDefault="009E38F9" w:rsidP="009E38F9">
      <w:r>
        <w:lastRenderedPageBreak/>
        <w:t xml:space="preserve">An dieser Stelle entzünden sich häufig ebenso spannende wie mit Herzblut geführte Diskussionen. Auf der einen Seite wird die als Rückgrat oft zum Einsatz kommende Kraft-Wärme-Kopplung als Steigbügelhalter der fossilen Energieträger gesehen. Auf der anderen Seite </w:t>
      </w:r>
      <w:r w:rsidR="009F3C04">
        <w:t xml:space="preserve">betonen </w:t>
      </w:r>
      <w:r>
        <w:t>Vertreter der KWK, dass ihre Anlagen ohne Weiteres auch mit erneuerbaren Gasen wie Biomethan und grünem Wasserstoff und damit klimaneutral betrieben werden können.</w:t>
      </w:r>
    </w:p>
    <w:p w14:paraId="2CBEA38B" w14:textId="3A957A9E" w:rsidR="002A32F2" w:rsidRDefault="009E38F9" w:rsidP="00442EF9">
      <w:r>
        <w:t xml:space="preserve">In der mit hochinteressanten Rednern besetzten Veranstaltung wird dargelegt, wie auf erneuerbaren Gasen basierte Lösungen zu einem Gelingen </w:t>
      </w:r>
      <w:r>
        <w:lastRenderedPageBreak/>
        <w:t xml:space="preserve">von Energie- und Wärmewende beitragen können. Ein Überblick über die zum Einsatz kommenden, marktreifen Technologien zeigt die Möglichkeiten, über die Geräteanbieter und Netzbetreiber schon heute verfügen, wenn es um den Einsatz klimaneutraler Treibstoffe geht. Aber </w:t>
      </w:r>
      <w:r w:rsidR="009F3C04">
        <w:t xml:space="preserve">auch </w:t>
      </w:r>
      <w:r>
        <w:t>die durch innovative Anlagenkonzepte gestützte Wärmende im städtischen, möglicherweise veralteten Gebäudebestand wird thematisiert. Denn nur durch den intelligenten Einsatz</w:t>
      </w:r>
      <w:r w:rsidR="00236E7F">
        <w:t xml:space="preserve"> von</w:t>
      </w:r>
      <w:r>
        <w:t xml:space="preserve"> </w:t>
      </w:r>
      <w:r w:rsidR="00236E7F">
        <w:t>CO</w:t>
      </w:r>
      <w:r w:rsidR="00236E7F" w:rsidRPr="00240EA9">
        <w:rPr>
          <w:vertAlign w:val="subscript"/>
        </w:rPr>
        <w:t>2</w:t>
      </w:r>
      <w:r w:rsidR="00236E7F">
        <w:t xml:space="preserve">-freien Gasheizungen oder KWK-Anlagen mit </w:t>
      </w:r>
      <w:r>
        <w:t>erneuerbaren Gasen in gleichberechtigter Partnerschaft mit den Erneuerbaren Energien lassen sich verlässliche und volkswirtschaftlich sinnvolle Konzepte entwickeln.</w:t>
      </w:r>
    </w:p>
    <w:p w14:paraId="2894C6FE" w14:textId="77777777" w:rsidR="002A32F2" w:rsidRDefault="002A32F2" w:rsidP="00442EF9">
      <w:pPr>
        <w:sectPr w:rsidR="002A32F2" w:rsidSect="007C3F1F">
          <w:type w:val="continuous"/>
          <w:pgSz w:w="11906" w:h="16838"/>
          <w:pgMar w:top="3686" w:right="707" w:bottom="1134" w:left="709" w:header="568" w:footer="708" w:gutter="0"/>
          <w:cols w:num="2" w:space="708"/>
          <w:docGrid w:linePitch="360"/>
        </w:sectPr>
      </w:pPr>
    </w:p>
    <w:p w14:paraId="6EA2BA4A" w14:textId="5E8E1CF1" w:rsidR="007C3F1F" w:rsidRDefault="007C3F1F" w:rsidP="007C3F1F">
      <w:pPr>
        <w:pStyle w:val="berschrift2"/>
      </w:pPr>
    </w:p>
    <w:p w14:paraId="73D195AD" w14:textId="77777777" w:rsidR="00442EF9" w:rsidRDefault="00442EF9" w:rsidP="007C3F1F">
      <w:pPr>
        <w:pStyle w:val="berschrift2"/>
      </w:pPr>
      <w:r>
        <w:t>Kontakt:</w:t>
      </w:r>
    </w:p>
    <w:p w14:paraId="4A680429" w14:textId="606632DF" w:rsidR="009E38F9" w:rsidRPr="006B2EE9" w:rsidRDefault="007C3F1F" w:rsidP="009E38F9">
      <w:pPr>
        <w:jc w:val="left"/>
        <w:rPr>
          <w:b/>
        </w:rPr>
      </w:pPr>
      <w:r w:rsidRPr="006B2EE9">
        <w:rPr>
          <w:b/>
        </w:rPr>
        <w:t xml:space="preserve">ASUE </w:t>
      </w:r>
      <w:r w:rsidR="009E38F9">
        <w:rPr>
          <w:b/>
        </w:rPr>
        <w:t>Arbeitsgemeinschaft für sparsamen und</w:t>
      </w:r>
      <w:r w:rsidR="009E38F9">
        <w:rPr>
          <w:b/>
        </w:rPr>
        <w:tab/>
      </w:r>
      <w:r w:rsidRPr="006B2EE9">
        <w:rPr>
          <w:b/>
        </w:rPr>
        <w:t>B.KWK Bundesverband Kraft-Wärme-Kopplung e.</w:t>
      </w:r>
      <w:r w:rsidR="00927525">
        <w:rPr>
          <w:b/>
        </w:rPr>
        <w:t xml:space="preserve"> </w:t>
      </w:r>
      <w:r w:rsidRPr="006B2EE9">
        <w:rPr>
          <w:b/>
        </w:rPr>
        <w:t>V.</w:t>
      </w:r>
      <w:r w:rsidR="009E38F9">
        <w:rPr>
          <w:b/>
        </w:rPr>
        <w:br/>
        <w:t xml:space="preserve">umweltfreundlichen Energieverbrauch </w:t>
      </w:r>
      <w:r w:rsidR="009E38F9" w:rsidRPr="006B2EE9">
        <w:rPr>
          <w:b/>
        </w:rPr>
        <w:t>e. V.</w:t>
      </w:r>
      <w:r w:rsidR="00445AE5">
        <w:rPr>
          <w:b/>
        </w:rPr>
        <w:tab/>
        <w:t>(B.KWK)</w:t>
      </w:r>
    </w:p>
    <w:p w14:paraId="13746B8B" w14:textId="77777777" w:rsidR="007C3F1F" w:rsidRDefault="007C3F1F" w:rsidP="00442EF9">
      <w:r>
        <w:t>Robert-Koch-Platz 4</w:t>
      </w:r>
      <w:r>
        <w:tab/>
      </w:r>
      <w:r>
        <w:tab/>
      </w:r>
      <w:r>
        <w:tab/>
      </w:r>
      <w:r>
        <w:tab/>
      </w:r>
      <w:r w:rsidR="009E38F9">
        <w:tab/>
      </w:r>
      <w:r>
        <w:t>Robert-Koch-Platz 4</w:t>
      </w:r>
    </w:p>
    <w:p w14:paraId="744E7462" w14:textId="77777777" w:rsidR="00EC1D54" w:rsidRDefault="007C3F1F" w:rsidP="00EC1D54">
      <w:r>
        <w:t>10115 Berlin</w:t>
      </w:r>
      <w:r w:rsidR="00EC1D54">
        <w:tab/>
      </w:r>
      <w:r w:rsidR="00EC1D54">
        <w:tab/>
      </w:r>
      <w:r w:rsidR="00EC1D54">
        <w:tab/>
      </w:r>
      <w:r w:rsidR="00EC1D54">
        <w:tab/>
      </w:r>
      <w:r w:rsidR="00EC1D54">
        <w:tab/>
      </w:r>
      <w:r w:rsidR="009E38F9">
        <w:tab/>
      </w:r>
      <w:r w:rsidR="00EC1D54">
        <w:t>10115 Berlin</w:t>
      </w:r>
    </w:p>
    <w:p w14:paraId="09F471BE" w14:textId="2F1E9C58" w:rsidR="00445AE5" w:rsidRDefault="007C3F1F" w:rsidP="00442EF9">
      <w:r>
        <w:t>Telefon: 0 30 / 22 19 13 49-0</w:t>
      </w:r>
      <w:r w:rsidR="00EC1D54">
        <w:tab/>
      </w:r>
      <w:r w:rsidR="00EC1D54">
        <w:tab/>
      </w:r>
      <w:r w:rsidR="00EC1D54">
        <w:tab/>
      </w:r>
      <w:r w:rsidR="009E38F9">
        <w:tab/>
      </w:r>
      <w:r w:rsidR="00EC1D54">
        <w:t xml:space="preserve">0 30 / </w:t>
      </w:r>
      <w:r w:rsidR="00EC1D54" w:rsidRPr="00EC1D54">
        <w:t>2701 9281</w:t>
      </w:r>
      <w:r w:rsidR="00EC1D54" w:rsidRPr="00EC1D54">
        <w:rPr>
          <w:rFonts w:ascii="MS Gothic" w:eastAsia="MS Gothic" w:hAnsi="MS Gothic" w:cs="MS Gothic" w:hint="eastAsia"/>
        </w:rPr>
        <w:t>‑</w:t>
      </w:r>
      <w:r w:rsidR="00EC1D54" w:rsidRPr="00EC1D54">
        <w:t>1</w:t>
      </w:r>
      <w:r w:rsidR="00445AE5">
        <w:t>0</w:t>
      </w:r>
    </w:p>
    <w:p w14:paraId="556C45E1" w14:textId="138DCCCD" w:rsidR="00EC1D54" w:rsidRDefault="00442EF9" w:rsidP="00442EF9">
      <w:r>
        <w:t xml:space="preserve">E-Mail: </w:t>
      </w:r>
      <w:hyperlink r:id="rId12" w:history="1">
        <w:r w:rsidRPr="00AF5E3C">
          <w:rPr>
            <w:rStyle w:val="Hyperlink"/>
          </w:rPr>
          <w:t>buero-berlin@asue.de</w:t>
        </w:r>
      </w:hyperlink>
      <w:r w:rsidR="00EC1D54">
        <w:tab/>
      </w:r>
      <w:r w:rsidR="00EC1D54">
        <w:tab/>
      </w:r>
      <w:r w:rsidR="009E38F9">
        <w:tab/>
      </w:r>
      <w:hyperlink r:id="rId13" w:history="1">
        <w:r w:rsidR="00EC1D54" w:rsidRPr="00FB66F8">
          <w:rPr>
            <w:rStyle w:val="Hyperlink"/>
          </w:rPr>
          <w:t>info@bkwk.de</w:t>
        </w:r>
      </w:hyperlink>
    </w:p>
    <w:p w14:paraId="35C1BAA2" w14:textId="77777777" w:rsidR="00EC1D54" w:rsidRDefault="00442EF9" w:rsidP="00442EF9">
      <w:r>
        <w:t>Internet:</w:t>
      </w:r>
      <w:r w:rsidR="007C3F1F">
        <w:t xml:space="preserve"> </w:t>
      </w:r>
      <w:hyperlink r:id="rId14" w:history="1">
        <w:r w:rsidR="007C3F1F" w:rsidRPr="00FB66F8">
          <w:rPr>
            <w:rStyle w:val="Hyperlink"/>
          </w:rPr>
          <w:t>www.asue.de</w:t>
        </w:r>
      </w:hyperlink>
      <w:r w:rsidR="00EC1D54">
        <w:tab/>
      </w:r>
      <w:r w:rsidR="00EC1D54">
        <w:tab/>
      </w:r>
      <w:r w:rsidR="00EC1D54">
        <w:tab/>
      </w:r>
      <w:r w:rsidR="009E38F9">
        <w:tab/>
      </w:r>
      <w:hyperlink r:id="rId15" w:history="1">
        <w:r w:rsidR="00EC1D54" w:rsidRPr="00FB66F8">
          <w:rPr>
            <w:rStyle w:val="Hyperlink"/>
          </w:rPr>
          <w:t>www.bkwk.de</w:t>
        </w:r>
      </w:hyperlink>
    </w:p>
    <w:sectPr w:rsidR="00EC1D54" w:rsidSect="007C3F1F">
      <w:type w:val="continuous"/>
      <w:pgSz w:w="11906" w:h="16838"/>
      <w:pgMar w:top="2268" w:right="707" w:bottom="1134"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385E" w14:textId="77777777" w:rsidR="00BE6A5B" w:rsidRDefault="00BE6A5B" w:rsidP="004710D2">
      <w:pPr>
        <w:spacing w:after="0"/>
      </w:pPr>
      <w:r>
        <w:separator/>
      </w:r>
    </w:p>
    <w:p w14:paraId="294E3422" w14:textId="77777777" w:rsidR="00BE6A5B" w:rsidRDefault="00BE6A5B"/>
  </w:endnote>
  <w:endnote w:type="continuationSeparator" w:id="0">
    <w:p w14:paraId="0F503E7F" w14:textId="77777777" w:rsidR="00BE6A5B" w:rsidRDefault="00BE6A5B" w:rsidP="004710D2">
      <w:pPr>
        <w:spacing w:after="0"/>
      </w:pPr>
      <w:r>
        <w:continuationSeparator/>
      </w:r>
    </w:p>
    <w:p w14:paraId="147A45D0" w14:textId="77777777" w:rsidR="00BE6A5B" w:rsidRDefault="00BE6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B7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FAEE" w14:textId="5044A41F" w:rsidR="00C83273" w:rsidRPr="00F15F2A" w:rsidRDefault="00C83273">
    <w:pPr>
      <w:pStyle w:val="Fuzeile"/>
      <w:rPr>
        <w:color w:val="0070B8"/>
      </w:rPr>
    </w:pPr>
    <w:r w:rsidRPr="00F15F2A">
      <w:rPr>
        <w:color w:val="0070B8"/>
      </w:rPr>
      <w:t xml:space="preserve">Seite </w:t>
    </w:r>
    <w:sdt>
      <w:sdtPr>
        <w:rPr>
          <w:color w:val="0070B8"/>
        </w:rPr>
        <w:id w:val="-1745179617"/>
        <w:docPartObj>
          <w:docPartGallery w:val="Page Numbers (Bottom of Page)"/>
          <w:docPartUnique/>
        </w:docPartObj>
      </w:sdtPr>
      <w:sdtEndPr/>
      <w:sdtContent>
        <w:r w:rsidRPr="00F15F2A">
          <w:rPr>
            <w:color w:val="0070B8"/>
          </w:rPr>
          <w:fldChar w:fldCharType="begin"/>
        </w:r>
        <w:r w:rsidRPr="00F15F2A">
          <w:rPr>
            <w:color w:val="0070B8"/>
          </w:rPr>
          <w:instrText>PAGE   \* MERGEFORMAT</w:instrText>
        </w:r>
        <w:r w:rsidRPr="00F15F2A">
          <w:rPr>
            <w:color w:val="0070B8"/>
          </w:rPr>
          <w:fldChar w:fldCharType="separate"/>
        </w:r>
        <w:r w:rsidR="005463A1">
          <w:rPr>
            <w:noProof/>
            <w:color w:val="0070B8"/>
          </w:rPr>
          <w:t>1</w:t>
        </w:r>
        <w:r w:rsidRPr="00F15F2A">
          <w:rPr>
            <w:color w:val="0070B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3ADFC" w14:textId="77777777" w:rsidR="00BE6A5B" w:rsidRDefault="00BE6A5B" w:rsidP="004710D2">
      <w:pPr>
        <w:spacing w:after="0"/>
      </w:pPr>
      <w:r>
        <w:separator/>
      </w:r>
    </w:p>
    <w:p w14:paraId="5736A810" w14:textId="77777777" w:rsidR="00BE6A5B" w:rsidRDefault="00BE6A5B"/>
  </w:footnote>
  <w:footnote w:type="continuationSeparator" w:id="0">
    <w:p w14:paraId="603D94DB" w14:textId="77777777" w:rsidR="00BE6A5B" w:rsidRDefault="00BE6A5B" w:rsidP="004710D2">
      <w:pPr>
        <w:spacing w:after="0"/>
      </w:pPr>
      <w:r>
        <w:continuationSeparator/>
      </w:r>
    </w:p>
    <w:p w14:paraId="35846DC0" w14:textId="77777777" w:rsidR="00BE6A5B" w:rsidRDefault="00BE6A5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EC9A" w14:textId="77777777" w:rsidR="00C83273" w:rsidRDefault="00C83273" w:rsidP="00831C2E">
    <w:pPr>
      <w:pStyle w:val="Kopfzeile"/>
      <w:ind w:left="-142"/>
    </w:pPr>
    <w:r>
      <w:rPr>
        <w:noProof/>
        <w:lang w:eastAsia="de-DE"/>
      </w:rPr>
      <mc:AlternateContent>
        <mc:Choice Requires="wps">
          <w:drawing>
            <wp:inline distT="0" distB="0" distL="0" distR="0" wp14:anchorId="1CEB068B" wp14:editId="7F66C7CD">
              <wp:extent cx="308610" cy="308610"/>
              <wp:effectExtent l="0" t="0" r="0" b="0"/>
              <wp:docPr id="1" name="AutoShape 3" descr="https://www.bkwk.de/wp-content/uploads/2018/04/bkwk-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89EE9F" id="AutoShape 3" o:spid="_x0000_s1026" alt="https://www.bkwk.de/wp-content/uploads/2018/04/bkwk-logo.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CSB0f0bAIAAIgEAAAOAAAAAAAAAAAAAAAAAC4CAABk&#10;cnMvZTJvRG9jLnhtbFBLAQItABQABgAIAAAAIQCY9mwN2QAAAAMBAAAPAAAAAAAAAAAAAAAAAMYE&#10;AABkcnMvZG93bnJldi54bWxQSwUGAAAAAAQABADzAAAAzAUAAAAA&#10;" filled="f" stroked="f">
              <o:lock v:ext="edit" aspectratio="t"/>
              <w10:anchorlock/>
            </v:rect>
          </w:pict>
        </mc:Fallback>
      </mc:AlternateContent>
    </w:r>
    <w:r>
      <w:rPr>
        <w:noProof/>
        <w:lang w:eastAsia="de-DE"/>
      </w:rPr>
      <mc:AlternateContent>
        <mc:Choice Requires="wps">
          <w:drawing>
            <wp:anchor distT="0" distB="0" distL="114300" distR="114300" simplePos="0" relativeHeight="251660288" behindDoc="0" locked="0" layoutInCell="1" allowOverlap="1" wp14:anchorId="250C045A" wp14:editId="590FB45B">
              <wp:simplePos x="0" y="0"/>
              <wp:positionH relativeFrom="column">
                <wp:posOffset>3559810</wp:posOffset>
              </wp:positionH>
              <wp:positionV relativeFrom="paragraph">
                <wp:posOffset>-122555</wp:posOffset>
              </wp:positionV>
              <wp:extent cx="3204210" cy="857250"/>
              <wp:effectExtent l="0" t="0" r="0" b="0"/>
              <wp:wrapNone/>
              <wp:docPr id="5" name="Textfeld 5"/>
              <wp:cNvGraphicFramePr/>
              <a:graphic xmlns:a="http://schemas.openxmlformats.org/drawingml/2006/main">
                <a:graphicData uri="http://schemas.microsoft.com/office/word/2010/wordprocessingShape">
                  <wps:wsp>
                    <wps:cNvSpPr txBox="1"/>
                    <wps:spPr>
                      <a:xfrm>
                        <a:off x="0" y="0"/>
                        <a:ext cx="320421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57C41" w14:textId="77777777" w:rsidR="00C83273" w:rsidRDefault="00C83273" w:rsidP="00831C2E">
                          <w:pPr>
                            <w:spacing w:line="260" w:lineRule="exact"/>
                            <w:jc w:val="right"/>
                            <w:rPr>
                              <w:b/>
                              <w:color w:val="FFFFFF" w:themeColor="background1"/>
                            </w:rPr>
                          </w:pPr>
                          <w:r>
                            <w:rPr>
                              <w:b/>
                              <w:color w:val="FFFFFF" w:themeColor="background1"/>
                            </w:rPr>
                            <w:t>Pressemeldung Berliner Energietage 202</w:t>
                          </w:r>
                          <w:r w:rsidR="009E38F9">
                            <w:rPr>
                              <w:b/>
                              <w:color w:val="FFFFFF" w:themeColor="background1"/>
                            </w:rPr>
                            <w:t>1</w:t>
                          </w:r>
                        </w:p>
                        <w:p w14:paraId="745CC252" w14:textId="77777777" w:rsidR="00C83273" w:rsidRPr="009E38F9" w:rsidRDefault="009E38F9" w:rsidP="009E38F9">
                          <w:pPr>
                            <w:jc w:val="right"/>
                            <w:rPr>
                              <w:b/>
                              <w:color w:val="FFFFFF" w:themeColor="background1"/>
                              <w:sz w:val="36"/>
                            </w:rPr>
                          </w:pPr>
                          <w:r w:rsidRPr="009E38F9">
                            <w:rPr>
                              <w:b/>
                              <w:color w:val="FFFFFF" w:themeColor="background1"/>
                              <w:sz w:val="36"/>
                            </w:rPr>
                            <w:t>W</w:t>
                          </w:r>
                          <w:r>
                            <w:rPr>
                              <w:b/>
                              <w:color w:val="FFFFFF" w:themeColor="background1"/>
                              <w:sz w:val="36"/>
                            </w:rPr>
                            <w:t>ärmenetze mit erneuerbaren</w:t>
                          </w:r>
                          <w:r>
                            <w:rPr>
                              <w:b/>
                              <w:color w:val="FFFFFF" w:themeColor="background1"/>
                              <w:sz w:val="36"/>
                            </w:rPr>
                            <w:br/>
                          </w:r>
                          <w:r w:rsidRPr="009E38F9">
                            <w:rPr>
                              <w:b/>
                              <w:color w:val="FFFFFF" w:themeColor="background1"/>
                              <w:sz w:val="36"/>
                            </w:rPr>
                            <w:t>Gasen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0C045A" id="_x0000_t202" coordsize="21600,21600" o:spt="202" path="m,l,21600r21600,l21600,xe">
              <v:stroke joinstyle="miter"/>
              <v:path gradientshapeok="t" o:connecttype="rect"/>
            </v:shapetype>
            <v:shape id="Textfeld 5" o:spid="_x0000_s1026" type="#_x0000_t202" style="position:absolute;left:0;text-align:left;margin-left:280.3pt;margin-top:-9.65pt;width:252.3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" filled="f" stroked="f" strokeweight=".5pt">
              <v:textbox>
                <w:txbxContent>
                  <w:p w14:paraId="74657C41" w14:textId="77777777" w:rsidR="00C83273" w:rsidRDefault="00C83273" w:rsidP="00831C2E">
                    <w:pPr>
                      <w:spacing w:line="260" w:lineRule="exact"/>
                      <w:jc w:val="right"/>
                      <w:rPr>
                        <w:b/>
                        <w:color w:val="FFFFFF" w:themeColor="background1"/>
                      </w:rPr>
                    </w:pPr>
                    <w:r>
                      <w:rPr>
                        <w:b/>
                        <w:color w:val="FFFFFF" w:themeColor="background1"/>
                      </w:rPr>
                      <w:t>Pressemeldung Berliner Energietage 202</w:t>
                    </w:r>
                    <w:r w:rsidR="009E38F9">
                      <w:rPr>
                        <w:b/>
                        <w:color w:val="FFFFFF" w:themeColor="background1"/>
                      </w:rPr>
                      <w:t>1</w:t>
                    </w:r>
                  </w:p>
                  <w:p w14:paraId="745CC252" w14:textId="77777777" w:rsidR="00C83273" w:rsidRPr="009E38F9" w:rsidRDefault="009E38F9" w:rsidP="009E38F9">
                    <w:pPr>
                      <w:jc w:val="right"/>
                      <w:rPr>
                        <w:b/>
                        <w:color w:val="FFFFFF" w:themeColor="background1"/>
                        <w:sz w:val="36"/>
                      </w:rPr>
                    </w:pPr>
                    <w:r w:rsidRPr="009E38F9">
                      <w:rPr>
                        <w:b/>
                        <w:color w:val="FFFFFF" w:themeColor="background1"/>
                        <w:sz w:val="36"/>
                      </w:rPr>
                      <w:t>W</w:t>
                    </w:r>
                    <w:r>
                      <w:rPr>
                        <w:b/>
                        <w:color w:val="FFFFFF" w:themeColor="background1"/>
                        <w:sz w:val="36"/>
                      </w:rPr>
                      <w:t>ärmenetze mit erneuerbaren</w:t>
                    </w:r>
                    <w:r>
                      <w:rPr>
                        <w:b/>
                        <w:color w:val="FFFFFF" w:themeColor="background1"/>
                        <w:sz w:val="36"/>
                      </w:rPr>
                      <w:br/>
                    </w:r>
                    <w:r w:rsidRPr="009E38F9">
                      <w:rPr>
                        <w:b/>
                        <w:color w:val="FFFFFF" w:themeColor="background1"/>
                        <w:sz w:val="36"/>
                      </w:rPr>
                      <w:t>Gasen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A86E1B9" wp14:editId="338E47CE">
              <wp:simplePos x="0" y="0"/>
              <wp:positionH relativeFrom="column">
                <wp:posOffset>-1132603</wp:posOffset>
              </wp:positionH>
              <wp:positionV relativeFrom="paragraph">
                <wp:posOffset>-360680</wp:posOffset>
              </wp:positionV>
              <wp:extent cx="8531749" cy="1241946"/>
              <wp:effectExtent l="0" t="0" r="3175" b="0"/>
              <wp:wrapNone/>
              <wp:docPr id="4" name="Rechteck 4"/>
              <wp:cNvGraphicFramePr/>
              <a:graphic xmlns:a="http://schemas.openxmlformats.org/drawingml/2006/main">
                <a:graphicData uri="http://schemas.microsoft.com/office/word/2010/wordprocessingShape">
                  <wps:wsp>
                    <wps:cNvSpPr/>
                    <wps:spPr>
                      <a:xfrm>
                        <a:off x="0" y="0"/>
                        <a:ext cx="8531749" cy="1241946"/>
                      </a:xfrm>
                      <a:prstGeom prst="rect">
                        <a:avLst/>
                      </a:prstGeom>
                      <a:solidFill>
                        <a:srgbClr val="0070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ED1DA" w14:textId="77777777" w:rsidR="00C83273" w:rsidRDefault="00C83273" w:rsidP="00831C2E">
                          <w:pPr>
                            <w:ind w:left="1701" w:hanging="283"/>
                            <w:jc w:val="left"/>
                          </w:pPr>
                          <w:r>
                            <w:rPr>
                              <w:noProof/>
                              <w:lang w:eastAsia="de-DE"/>
                            </w:rPr>
                            <w:drawing>
                              <wp:inline distT="0" distB="0" distL="0" distR="0" wp14:anchorId="3A814C6C" wp14:editId="0D5D987D">
                                <wp:extent cx="1571625" cy="516579"/>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007BC3"/>
                                            </a:clrFrom>
                                            <a:clrTo>
                                              <a:srgbClr val="007BC3">
                                                <a:alpha val="0"/>
                                              </a:srgbClr>
                                            </a:clrTo>
                                          </a:clrChange>
                                          <a:extLst>
                                            <a:ext uri="{28A0092B-C50C-407E-A947-70E740481C1C}">
                                              <a14:useLocalDpi xmlns:a14="http://schemas.microsoft.com/office/drawing/2010/main" val="0"/>
                                            </a:ext>
                                          </a:extLst>
                                        </a:blip>
                                        <a:srcRect/>
                                        <a:stretch>
                                          <a:fillRect/>
                                        </a:stretch>
                                      </pic:blipFill>
                                      <pic:spPr bwMode="auto">
                                        <a:xfrm>
                                          <a:off x="0" y="0"/>
                                          <a:ext cx="1575141" cy="517735"/>
                                        </a:xfrm>
                                        <a:prstGeom prst="rect">
                                          <a:avLst/>
                                        </a:prstGeom>
                                        <a:noFill/>
                                        <a:ln>
                                          <a:noFill/>
                                        </a:ln>
                                      </pic:spPr>
                                    </pic:pic>
                                  </a:graphicData>
                                </a:graphic>
                              </wp:inline>
                            </w:drawing>
                          </w:r>
                          <w:r>
                            <w:tab/>
                          </w:r>
                          <w:r>
                            <w:tab/>
                          </w:r>
                          <w:r>
                            <w:rPr>
                              <w:noProof/>
                              <w:lang w:eastAsia="de-DE"/>
                            </w:rPr>
                            <w:drawing>
                              <wp:inline distT="0" distB="0" distL="0" distR="0" wp14:anchorId="5AAFB14D" wp14:editId="2131B22A">
                                <wp:extent cx="1116898" cy="51480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898" cy="51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86E1B9" id="Rechteck 4" o:spid="_x0000_s1027" style="position:absolute;left:0;text-align:left;margin-left:-89.2pt;margin-top:-28.4pt;width:671.8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" fillcolor="#0070b8" stroked="f" strokeweight="2pt">
              <v:textbox>
                <w:txbxContent>
                  <w:p w14:paraId="481ED1DA" w14:textId="77777777" w:rsidR="00C83273" w:rsidRDefault="00C83273" w:rsidP="00831C2E">
                    <w:pPr>
                      <w:ind w:left="1701" w:hanging="283"/>
                      <w:jc w:val="left"/>
                    </w:pPr>
                    <w:r>
                      <w:rPr>
                        <w:noProof/>
                        <w:lang w:eastAsia="de-DE"/>
                      </w:rPr>
                      <w:drawing>
                        <wp:inline distT="0" distB="0" distL="0" distR="0" wp14:anchorId="3A814C6C" wp14:editId="0D5D987D">
                          <wp:extent cx="1571625" cy="516579"/>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clrChange>
                                      <a:clrFrom>
                                        <a:srgbClr val="007BC3"/>
                                      </a:clrFrom>
                                      <a:clrTo>
                                        <a:srgbClr val="007BC3">
                                          <a:alpha val="0"/>
                                        </a:srgbClr>
                                      </a:clrTo>
                                    </a:clrChange>
                                    <a:extLst>
                                      <a:ext uri="{28A0092B-C50C-407E-A947-70E740481C1C}">
                                        <a14:useLocalDpi xmlns:a14="http://schemas.microsoft.com/office/drawing/2010/main" val="0"/>
                                      </a:ext>
                                    </a:extLst>
                                  </a:blip>
                                  <a:srcRect/>
                                  <a:stretch>
                                    <a:fillRect/>
                                  </a:stretch>
                                </pic:blipFill>
                                <pic:spPr bwMode="auto">
                                  <a:xfrm>
                                    <a:off x="0" y="0"/>
                                    <a:ext cx="1575141" cy="517735"/>
                                  </a:xfrm>
                                  <a:prstGeom prst="rect">
                                    <a:avLst/>
                                  </a:prstGeom>
                                  <a:noFill/>
                                  <a:ln>
                                    <a:noFill/>
                                  </a:ln>
                                </pic:spPr>
                              </pic:pic>
                            </a:graphicData>
                          </a:graphic>
                        </wp:inline>
                      </w:drawing>
                    </w:r>
                    <w:r>
                      <w:tab/>
                    </w:r>
                    <w:r>
                      <w:tab/>
                    </w:r>
                    <w:r>
                      <w:rPr>
                        <w:noProof/>
                        <w:lang w:eastAsia="de-DE"/>
                      </w:rPr>
                      <w:drawing>
                        <wp:inline distT="0" distB="0" distL="0" distR="0" wp14:anchorId="5AAFB14D" wp14:editId="2131B22A">
                          <wp:extent cx="1116898" cy="51480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6898" cy="514800"/>
                                  </a:xfrm>
                                  <a:prstGeom prst="rect">
                                    <a:avLst/>
                                  </a:prstGeom>
                                  <a:noFill/>
                                  <a:ln>
                                    <a:noFill/>
                                  </a:ln>
                                </pic:spPr>
                              </pic:pic>
                            </a:graphicData>
                          </a:graphic>
                        </wp:inline>
                      </w:drawing>
                    </w:r>
                  </w:p>
                </w:txbxContent>
              </v:textbox>
            </v:rect>
          </w:pict>
        </mc:Fallback>
      </mc:AlternateContent>
    </w:r>
  </w:p>
  <w:p w14:paraId="2F2F97CE" w14:textId="77777777" w:rsidR="00C83273" w:rsidRDefault="00C8327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20B5"/>
    <w:multiLevelType w:val="hybridMultilevel"/>
    <w:tmpl w:val="2EC49082"/>
    <w:lvl w:ilvl="0" w:tplc="5E0A34C8">
      <w:start w:val="1"/>
      <w:numFmt w:val="bullet"/>
      <w:lvlText w:val=""/>
      <w:lvlJc w:val="left"/>
      <w:pPr>
        <w:ind w:left="1440" w:hanging="360"/>
      </w:pPr>
      <w:rPr>
        <w:rFonts w:ascii="Wingdings" w:hAnsi="Wingdings" w:hint="default"/>
        <w:color w:val="0070B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CE12722"/>
    <w:multiLevelType w:val="hybridMultilevel"/>
    <w:tmpl w:val="D430B1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3A06B3F"/>
    <w:multiLevelType w:val="hybridMultilevel"/>
    <w:tmpl w:val="25D0F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4C7936"/>
    <w:multiLevelType w:val="hybridMultilevel"/>
    <w:tmpl w:val="A5F078C0"/>
    <w:lvl w:ilvl="0" w:tplc="D5441B8A">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BE5D79"/>
    <w:multiLevelType w:val="hybridMultilevel"/>
    <w:tmpl w:val="6CEE521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8435F0"/>
    <w:multiLevelType w:val="hybridMultilevel"/>
    <w:tmpl w:val="C546C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D2"/>
    <w:rsid w:val="0001123B"/>
    <w:rsid w:val="000254AD"/>
    <w:rsid w:val="00026027"/>
    <w:rsid w:val="0003132E"/>
    <w:rsid w:val="000A185E"/>
    <w:rsid w:val="000B24B4"/>
    <w:rsid w:val="000D2822"/>
    <w:rsid w:val="000E17B7"/>
    <w:rsid w:val="000E7585"/>
    <w:rsid w:val="000F4BCA"/>
    <w:rsid w:val="00163DC3"/>
    <w:rsid w:val="00191236"/>
    <w:rsid w:val="001B28B9"/>
    <w:rsid w:val="00200539"/>
    <w:rsid w:val="00236E7F"/>
    <w:rsid w:val="00250F92"/>
    <w:rsid w:val="00273CDC"/>
    <w:rsid w:val="002A32F2"/>
    <w:rsid w:val="002D0D3B"/>
    <w:rsid w:val="002D2C56"/>
    <w:rsid w:val="002E6D82"/>
    <w:rsid w:val="00302826"/>
    <w:rsid w:val="0031569B"/>
    <w:rsid w:val="003370A8"/>
    <w:rsid w:val="003531F6"/>
    <w:rsid w:val="00392A28"/>
    <w:rsid w:val="0039399B"/>
    <w:rsid w:val="003A2C61"/>
    <w:rsid w:val="003A5D13"/>
    <w:rsid w:val="003B5B7B"/>
    <w:rsid w:val="003F3608"/>
    <w:rsid w:val="00410B95"/>
    <w:rsid w:val="004259B7"/>
    <w:rsid w:val="00442EF9"/>
    <w:rsid w:val="00445AE5"/>
    <w:rsid w:val="004710D2"/>
    <w:rsid w:val="004801C3"/>
    <w:rsid w:val="004A1DD7"/>
    <w:rsid w:val="004B2199"/>
    <w:rsid w:val="004F032B"/>
    <w:rsid w:val="00505E99"/>
    <w:rsid w:val="005123EB"/>
    <w:rsid w:val="00524460"/>
    <w:rsid w:val="005333B7"/>
    <w:rsid w:val="005335ED"/>
    <w:rsid w:val="00537A11"/>
    <w:rsid w:val="005463A1"/>
    <w:rsid w:val="005618CE"/>
    <w:rsid w:val="005F6AAB"/>
    <w:rsid w:val="006168EC"/>
    <w:rsid w:val="00646128"/>
    <w:rsid w:val="00666662"/>
    <w:rsid w:val="006933C1"/>
    <w:rsid w:val="00695D76"/>
    <w:rsid w:val="006B2EE9"/>
    <w:rsid w:val="007046C2"/>
    <w:rsid w:val="007378A5"/>
    <w:rsid w:val="007604F3"/>
    <w:rsid w:val="00785C76"/>
    <w:rsid w:val="007A3F67"/>
    <w:rsid w:val="007C3F1F"/>
    <w:rsid w:val="00821FD2"/>
    <w:rsid w:val="00823696"/>
    <w:rsid w:val="00831C2E"/>
    <w:rsid w:val="00851756"/>
    <w:rsid w:val="00890CA8"/>
    <w:rsid w:val="0089616F"/>
    <w:rsid w:val="008966F6"/>
    <w:rsid w:val="008A2ED7"/>
    <w:rsid w:val="00917E26"/>
    <w:rsid w:val="0092310D"/>
    <w:rsid w:val="00927525"/>
    <w:rsid w:val="00930A14"/>
    <w:rsid w:val="00941200"/>
    <w:rsid w:val="00973863"/>
    <w:rsid w:val="00987418"/>
    <w:rsid w:val="009D72A3"/>
    <w:rsid w:val="009E38F9"/>
    <w:rsid w:val="009F3C04"/>
    <w:rsid w:val="00A12D42"/>
    <w:rsid w:val="00A154D8"/>
    <w:rsid w:val="00A47F65"/>
    <w:rsid w:val="00AB5BD8"/>
    <w:rsid w:val="00AD26FE"/>
    <w:rsid w:val="00B236EA"/>
    <w:rsid w:val="00B243DB"/>
    <w:rsid w:val="00B262C9"/>
    <w:rsid w:val="00B65D15"/>
    <w:rsid w:val="00B83CEC"/>
    <w:rsid w:val="00B936E2"/>
    <w:rsid w:val="00BC1FFB"/>
    <w:rsid w:val="00BD3F6D"/>
    <w:rsid w:val="00BE6A5B"/>
    <w:rsid w:val="00C05857"/>
    <w:rsid w:val="00C20700"/>
    <w:rsid w:val="00C62098"/>
    <w:rsid w:val="00C81786"/>
    <w:rsid w:val="00C83273"/>
    <w:rsid w:val="00CD02AB"/>
    <w:rsid w:val="00CD751D"/>
    <w:rsid w:val="00CE0EE2"/>
    <w:rsid w:val="00D17174"/>
    <w:rsid w:val="00D577DA"/>
    <w:rsid w:val="00DB7B16"/>
    <w:rsid w:val="00DF04DA"/>
    <w:rsid w:val="00E11722"/>
    <w:rsid w:val="00E16A89"/>
    <w:rsid w:val="00E322D7"/>
    <w:rsid w:val="00E459DD"/>
    <w:rsid w:val="00E648B3"/>
    <w:rsid w:val="00EC1D54"/>
    <w:rsid w:val="00F0147D"/>
    <w:rsid w:val="00F10AC6"/>
    <w:rsid w:val="00F15F2A"/>
    <w:rsid w:val="00F23F1B"/>
    <w:rsid w:val="00F36DE5"/>
    <w:rsid w:val="00F6135A"/>
    <w:rsid w:val="00F9474B"/>
    <w:rsid w:val="00FC33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87D27"/>
  <w15:docId w15:val="{F67A795A-ED31-4310-87EA-F72EFCF5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90CA8"/>
    <w:pPr>
      <w:pBdr>
        <w:top w:val="nil"/>
        <w:left w:val="nil"/>
        <w:bottom w:val="nil"/>
        <w:right w:val="nil"/>
        <w:between w:val="nil"/>
        <w:bar w:val="nil"/>
      </w:pBdr>
      <w:spacing w:after="120" w:line="240" w:lineRule="auto"/>
      <w:jc w:val="both"/>
    </w:pPr>
    <w:rPr>
      <w:rFonts w:ascii="Calibri" w:hAnsi="Calibri" w:cs="Times New Roman"/>
      <w:sz w:val="24"/>
      <w:szCs w:val="24"/>
      <w:bdr w:val="nil"/>
    </w:rPr>
  </w:style>
  <w:style w:type="paragraph" w:styleId="berschrift1">
    <w:name w:val="heading 1"/>
    <w:next w:val="Standard"/>
    <w:link w:val="berschrift1Zchn"/>
    <w:uiPriority w:val="9"/>
    <w:qFormat/>
    <w:rsid w:val="00A12D42"/>
    <w:pPr>
      <w:keepNext/>
      <w:keepLines/>
      <w:spacing w:before="480" w:after="0"/>
      <w:outlineLvl w:val="0"/>
    </w:pPr>
    <w:rPr>
      <w:rFonts w:asciiTheme="majorHAnsi" w:eastAsiaTheme="majorEastAsia" w:hAnsiTheme="majorHAnsi" w:cstheme="majorBidi"/>
      <w:b/>
      <w:bCs/>
      <w:color w:val="0070B8"/>
      <w:sz w:val="28"/>
      <w:szCs w:val="28"/>
    </w:rPr>
  </w:style>
  <w:style w:type="paragraph" w:styleId="berschrift2">
    <w:name w:val="heading 2"/>
    <w:basedOn w:val="Standard"/>
    <w:next w:val="Standard"/>
    <w:link w:val="berschrift2Zchn"/>
    <w:uiPriority w:val="9"/>
    <w:unhideWhenUsed/>
    <w:qFormat/>
    <w:rsid w:val="00F15F2A"/>
    <w:pPr>
      <w:keepNext/>
      <w:keepLines/>
      <w:spacing w:before="240"/>
      <w:outlineLvl w:val="1"/>
    </w:pPr>
    <w:rPr>
      <w:rFonts w:eastAsiaTheme="majorEastAsia" w:cstheme="majorBidi"/>
      <w:b/>
      <w:bCs/>
      <w:color w:val="0070B8"/>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0260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6027"/>
  </w:style>
  <w:style w:type="paragraph" w:styleId="Fuzeile">
    <w:name w:val="footer"/>
    <w:link w:val="FuzeileZchn"/>
    <w:uiPriority w:val="99"/>
    <w:unhideWhenUsed/>
    <w:rsid w:val="000260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6027"/>
  </w:style>
  <w:style w:type="paragraph" w:styleId="Listenabsatz">
    <w:name w:val="List Paragraph"/>
    <w:basedOn w:val="Standard"/>
    <w:uiPriority w:val="34"/>
    <w:qFormat/>
    <w:rsid w:val="0031569B"/>
    <w:pPr>
      <w:numPr>
        <w:numId w:val="1"/>
      </w:numPr>
      <w:contextualSpacing/>
    </w:pPr>
  </w:style>
  <w:style w:type="character" w:customStyle="1" w:styleId="berschrift1Zchn">
    <w:name w:val="Überschrift 1 Zchn"/>
    <w:basedOn w:val="Absatz-Standardschriftart"/>
    <w:link w:val="berschrift1"/>
    <w:uiPriority w:val="9"/>
    <w:rsid w:val="00A12D42"/>
    <w:rPr>
      <w:rFonts w:asciiTheme="majorHAnsi" w:eastAsiaTheme="majorEastAsia" w:hAnsiTheme="majorHAnsi" w:cstheme="majorBidi"/>
      <w:b/>
      <w:bCs/>
      <w:color w:val="0070B8"/>
      <w:sz w:val="28"/>
      <w:szCs w:val="28"/>
    </w:rPr>
  </w:style>
  <w:style w:type="character" w:customStyle="1" w:styleId="berschrift2Zchn">
    <w:name w:val="Überschrift 2 Zchn"/>
    <w:basedOn w:val="Absatz-Standardschriftart"/>
    <w:link w:val="berschrift2"/>
    <w:uiPriority w:val="9"/>
    <w:rsid w:val="00F15F2A"/>
    <w:rPr>
      <w:rFonts w:ascii="Calibri" w:eastAsiaTheme="majorEastAsia" w:hAnsi="Calibri" w:cstheme="majorBidi"/>
      <w:b/>
      <w:bCs/>
      <w:color w:val="0070B8"/>
      <w:sz w:val="24"/>
      <w:szCs w:val="26"/>
    </w:rPr>
  </w:style>
  <w:style w:type="paragraph" w:styleId="Sprechblasentext">
    <w:name w:val="Balloon Text"/>
    <w:basedOn w:val="Standard"/>
    <w:link w:val="SprechblasentextZchn"/>
    <w:uiPriority w:val="99"/>
    <w:semiHidden/>
    <w:unhideWhenUsed/>
    <w:rsid w:val="004710D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0D2"/>
    <w:rPr>
      <w:rFonts w:ascii="Tahoma" w:hAnsi="Tahoma" w:cs="Tahoma"/>
      <w:sz w:val="16"/>
      <w:szCs w:val="16"/>
      <w:bdr w:val="nil"/>
    </w:rPr>
  </w:style>
  <w:style w:type="paragraph" w:styleId="KeinLeerraum">
    <w:name w:val="No Spacing"/>
    <w:uiPriority w:val="1"/>
    <w:qFormat/>
    <w:rsid w:val="00B243DB"/>
    <w:pPr>
      <w:pBdr>
        <w:top w:val="nil"/>
        <w:left w:val="nil"/>
        <w:bottom w:val="nil"/>
        <w:right w:val="nil"/>
        <w:between w:val="nil"/>
        <w:bar w:val="nil"/>
      </w:pBdr>
      <w:spacing w:after="0" w:line="240" w:lineRule="auto"/>
      <w:jc w:val="both"/>
    </w:pPr>
    <w:rPr>
      <w:rFonts w:ascii="Calibri" w:hAnsi="Calibri" w:cs="Times New Roman"/>
      <w:sz w:val="24"/>
      <w:szCs w:val="24"/>
      <w:bdr w:val="nil"/>
    </w:rPr>
  </w:style>
  <w:style w:type="character" w:styleId="Fett">
    <w:name w:val="Strong"/>
    <w:basedOn w:val="Absatz-Standardschriftart"/>
    <w:uiPriority w:val="22"/>
    <w:qFormat/>
    <w:rsid w:val="00B243DB"/>
    <w:rPr>
      <w:b/>
      <w:bCs/>
    </w:rPr>
  </w:style>
  <w:style w:type="character" w:styleId="Kommentarzeichen">
    <w:name w:val="annotation reference"/>
    <w:basedOn w:val="Absatz-Standardschriftart"/>
    <w:uiPriority w:val="99"/>
    <w:semiHidden/>
    <w:unhideWhenUsed/>
    <w:rsid w:val="000A185E"/>
    <w:rPr>
      <w:sz w:val="16"/>
      <w:szCs w:val="16"/>
    </w:rPr>
  </w:style>
  <w:style w:type="paragraph" w:styleId="Kommentartext">
    <w:name w:val="annotation text"/>
    <w:basedOn w:val="Standard"/>
    <w:link w:val="KommentartextZchn"/>
    <w:uiPriority w:val="99"/>
    <w:semiHidden/>
    <w:unhideWhenUsed/>
    <w:rsid w:val="000A185E"/>
    <w:rPr>
      <w:sz w:val="20"/>
      <w:szCs w:val="20"/>
    </w:rPr>
  </w:style>
  <w:style w:type="character" w:customStyle="1" w:styleId="KommentartextZchn">
    <w:name w:val="Kommentartext Zchn"/>
    <w:basedOn w:val="Absatz-Standardschriftart"/>
    <w:link w:val="Kommentartext"/>
    <w:uiPriority w:val="99"/>
    <w:semiHidden/>
    <w:rsid w:val="000A185E"/>
    <w:rPr>
      <w:rFonts w:ascii="Calibri" w:hAnsi="Calibri" w:cs="Times New Roman"/>
      <w:sz w:val="20"/>
      <w:szCs w:val="20"/>
      <w:bdr w:val="nil"/>
    </w:rPr>
  </w:style>
  <w:style w:type="paragraph" w:styleId="Kommentarthema">
    <w:name w:val="annotation subject"/>
    <w:basedOn w:val="Kommentartext"/>
    <w:next w:val="Kommentartext"/>
    <w:link w:val="KommentarthemaZchn"/>
    <w:uiPriority w:val="99"/>
    <w:semiHidden/>
    <w:unhideWhenUsed/>
    <w:rsid w:val="000A185E"/>
    <w:rPr>
      <w:b/>
      <w:bCs/>
    </w:rPr>
  </w:style>
  <w:style w:type="character" w:customStyle="1" w:styleId="KommentarthemaZchn">
    <w:name w:val="Kommentarthema Zchn"/>
    <w:basedOn w:val="KommentartextZchn"/>
    <w:link w:val="Kommentarthema"/>
    <w:uiPriority w:val="99"/>
    <w:semiHidden/>
    <w:rsid w:val="000A185E"/>
    <w:rPr>
      <w:rFonts w:ascii="Calibri" w:hAnsi="Calibri" w:cs="Times New Roman"/>
      <w:b/>
      <w:bCs/>
      <w:sz w:val="20"/>
      <w:szCs w:val="20"/>
      <w:bdr w:val="nil"/>
    </w:rPr>
  </w:style>
  <w:style w:type="character" w:styleId="Hyperlink">
    <w:name w:val="Hyperlink"/>
    <w:basedOn w:val="Absatz-Standardschriftart"/>
    <w:uiPriority w:val="99"/>
    <w:unhideWhenUsed/>
    <w:rsid w:val="005335ED"/>
    <w:rPr>
      <w:color w:val="0000FF" w:themeColor="hyperlink"/>
      <w:u w:val="single"/>
    </w:rPr>
  </w:style>
  <w:style w:type="paragraph" w:styleId="Beschriftung">
    <w:name w:val="caption"/>
    <w:basedOn w:val="Standard"/>
    <w:next w:val="Standard"/>
    <w:uiPriority w:val="35"/>
    <w:unhideWhenUsed/>
    <w:qFormat/>
    <w:rsid w:val="007A3F67"/>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2A3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14147">
      <w:bodyDiv w:val="1"/>
      <w:marLeft w:val="0"/>
      <w:marRight w:val="0"/>
      <w:marTop w:val="0"/>
      <w:marBottom w:val="0"/>
      <w:divBdr>
        <w:top w:val="none" w:sz="0" w:space="0" w:color="auto"/>
        <w:left w:val="none" w:sz="0" w:space="0" w:color="auto"/>
        <w:bottom w:val="none" w:sz="0" w:space="0" w:color="auto"/>
        <w:right w:val="none" w:sz="0" w:space="0" w:color="auto"/>
      </w:divBdr>
    </w:div>
    <w:div w:id="18031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bkw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ero-berlin@asu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kwk.d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su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15CC-C753-43DB-BDAD-13F444CE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ASUE-PM-H2-Energietage2020</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ASUE-PM-Energietage-2021_Wärmenetze-mit-erneuerbaren-Gasen</dc:title>
  <dc:subject>Quartiersversorgung, Energiewende, Wärmewende</dc:subject>
  <dc:creator>ASUE e.V.;Thomas Wencker;BKWK e.V.</dc:creator>
  <cp:keywords/>
  <dc:description/>
  <cp:lastModifiedBy>Thomas Wencker</cp:lastModifiedBy>
  <cp:revision>7</cp:revision>
  <cp:lastPrinted>2021-04-19T08:29:00Z</cp:lastPrinted>
  <dcterms:created xsi:type="dcterms:W3CDTF">2021-04-14T14:25:00Z</dcterms:created>
  <dcterms:modified xsi:type="dcterms:W3CDTF">2021-04-19T08:29:00Z</dcterms:modified>
</cp:coreProperties>
</file>