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0566" w14:textId="419D30BB" w:rsidR="000F4BCA" w:rsidRPr="004C5BD1" w:rsidRDefault="009F73F3" w:rsidP="00337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800" w:after="480"/>
        <w:jc w:val="left"/>
        <w:rPr>
          <w:rFonts w:ascii="TheSans" w:hAnsi="TheSans" w:cs="TheSans-B7Bold"/>
          <w:b/>
          <w:bCs/>
          <w:color w:val="0070B8"/>
          <w:spacing w:val="-4"/>
          <w:sz w:val="40"/>
          <w:szCs w:val="40"/>
          <w:bdr w:val="none" w:sz="0" w:space="0" w:color="auto"/>
        </w:rPr>
        <w:sectPr w:rsidR="000F4BCA" w:rsidRPr="004C5BD1" w:rsidSect="00FB415E">
          <w:headerReference w:type="default" r:id="rId8"/>
          <w:footerReference w:type="default" r:id="rId9"/>
          <w:pgSz w:w="11906" w:h="16838"/>
          <w:pgMar w:top="2127" w:right="707" w:bottom="1134" w:left="709" w:header="568" w:footer="708" w:gutter="0"/>
          <w:cols w:space="708"/>
          <w:docGrid w:linePitch="360"/>
        </w:sectPr>
      </w:pPr>
      <w:r w:rsidRPr="009F73F3">
        <w:rPr>
          <w:rFonts w:ascii="TheSans" w:hAnsi="TheSans" w:cs="TheSans-B7Bold"/>
          <w:b/>
          <w:bCs/>
          <w:color w:val="0070B8"/>
          <w:spacing w:val="-4"/>
          <w:sz w:val="40"/>
          <w:szCs w:val="40"/>
          <w:bdr w:val="none" w:sz="0" w:space="0" w:color="auto"/>
        </w:rPr>
        <w:t xml:space="preserve">Die Zukunft der Gebäudeheizung: </w:t>
      </w:r>
      <w:r w:rsidR="00686E56">
        <w:rPr>
          <w:rFonts w:ascii="TheSans" w:hAnsi="TheSans" w:cs="TheSans-B7Bold"/>
          <w:b/>
          <w:bCs/>
          <w:color w:val="0070B8"/>
          <w:spacing w:val="-4"/>
          <w:sz w:val="40"/>
          <w:szCs w:val="40"/>
          <w:bdr w:val="none" w:sz="0" w:space="0" w:color="auto"/>
        </w:rPr>
        <w:t>Möglich mit Gas?</w:t>
      </w:r>
    </w:p>
    <w:p w14:paraId="1FB2F5D8" w14:textId="77777777" w:rsidR="000F4BCA" w:rsidRPr="004C5BD1" w:rsidRDefault="000F4BCA" w:rsidP="000F4BCA">
      <w:pPr>
        <w:rPr>
          <w:rFonts w:ascii="TheSans" w:hAnsi="TheSans"/>
        </w:rPr>
      </w:pPr>
    </w:p>
    <w:p w14:paraId="2F8E2681" w14:textId="77777777" w:rsidR="000F4BCA" w:rsidRPr="004C5BD1" w:rsidRDefault="000F4BCA" w:rsidP="000F4BCA">
      <w:pPr>
        <w:rPr>
          <w:rFonts w:ascii="TheSans" w:hAnsi="TheSans"/>
        </w:rPr>
        <w:sectPr w:rsidR="000F4BCA" w:rsidRPr="004C5BD1" w:rsidSect="000F4BCA">
          <w:type w:val="continuous"/>
          <w:pgSz w:w="11906" w:h="16838"/>
          <w:pgMar w:top="2242" w:right="707" w:bottom="1134" w:left="709" w:header="568" w:footer="708" w:gutter="0"/>
          <w:cols w:space="708"/>
          <w:docGrid w:linePitch="360"/>
        </w:sectPr>
      </w:pPr>
    </w:p>
    <w:p w14:paraId="0205ADBF" w14:textId="4A3B9DA5" w:rsidR="00FB415E" w:rsidRDefault="009F73F3" w:rsidP="00FB415E">
      <w:pPr>
        <w:keepNext/>
      </w:pPr>
      <w:r>
        <w:t>Die Preisspirale</w:t>
      </w:r>
      <w:r w:rsidR="00640BE8">
        <w:t>n von Strom um Gas</w:t>
      </w:r>
      <w:r>
        <w:t xml:space="preserve"> </w:t>
      </w:r>
      <w:r w:rsidR="00640BE8">
        <w:t>haben</w:t>
      </w:r>
      <w:r>
        <w:t xml:space="preserve"> zusammen mit dem russischen Einmarsch in die Ukraine für ein Beben im </w:t>
      </w:r>
      <w:r w:rsidR="00640BE8">
        <w:t xml:space="preserve">Energiemarkt </w:t>
      </w:r>
      <w:r w:rsidR="00686E56">
        <w:t>gesorgt</w:t>
      </w:r>
      <w:r w:rsidR="00640BE8">
        <w:t>. Privatkunden sind</w:t>
      </w:r>
      <w:r w:rsidR="002C3E7A">
        <w:t>,</w:t>
      </w:r>
      <w:r w:rsidR="00640BE8">
        <w:t xml:space="preserve"> wie viele Unternehmen</w:t>
      </w:r>
      <w:r w:rsidR="002C3E7A">
        <w:t>,</w:t>
      </w:r>
      <w:r w:rsidR="00640BE8">
        <w:t xml:space="preserve"> verunsichert, ob ihre Versorgung </w:t>
      </w:r>
      <w:r w:rsidR="002C3E7A">
        <w:t>ge</w:t>
      </w:r>
      <w:r w:rsidR="00640BE8">
        <w:t>sicher</w:t>
      </w:r>
      <w:r w:rsidR="002C3E7A">
        <w:t>t</w:t>
      </w:r>
      <w:r w:rsidR="00640BE8">
        <w:t xml:space="preserve"> ist. In dieser Gemengelage hat die Bundesregierung mit ihrem „</w:t>
      </w:r>
      <w:r w:rsidR="00F96C18">
        <w:t>Entlastungs</w:t>
      </w:r>
      <w:r w:rsidR="00640BE8">
        <w:t xml:space="preserve">paket“ </w:t>
      </w:r>
      <w:r w:rsidR="00C41D46">
        <w:t xml:space="preserve">im Frühjahr </w:t>
      </w:r>
      <w:r w:rsidR="00640BE8">
        <w:t>2022 festgelegt, dass neben einem auf EH50-Niveau verschärften Standard beim Neubau ab dem 01. Januar 2024 zudem</w:t>
      </w:r>
      <w:r w:rsidR="00640BE8" w:rsidRPr="00C41D46">
        <w:rPr>
          <w:b/>
          <w:bCs/>
        </w:rPr>
        <w:t xml:space="preserve"> </w:t>
      </w:r>
      <w:r w:rsidR="00C41D46" w:rsidRPr="00C41D46">
        <w:rPr>
          <w:b/>
          <w:bCs/>
        </w:rPr>
        <w:t>jede Heizung</w:t>
      </w:r>
      <w:r w:rsidR="00640BE8" w:rsidRPr="00C41D46">
        <w:rPr>
          <w:b/>
          <w:bCs/>
        </w:rPr>
        <w:t xml:space="preserve"> mindestens 65 % Erneuerbare Energie </w:t>
      </w:r>
      <w:r w:rsidR="00C41D46" w:rsidRPr="00C41D46">
        <w:rPr>
          <w:b/>
          <w:bCs/>
        </w:rPr>
        <w:t>nutzen muss</w:t>
      </w:r>
      <w:r w:rsidR="00C41D46">
        <w:t>.</w:t>
      </w:r>
    </w:p>
    <w:p w14:paraId="3FBA703B" w14:textId="7B0CAE4E" w:rsidR="00C41D46" w:rsidRDefault="00C41D46" w:rsidP="00FB415E">
      <w:pPr>
        <w:keepNext/>
      </w:pPr>
      <w:r>
        <w:t>Die technischen Details</w:t>
      </w:r>
      <w:r w:rsidR="0009160E">
        <w:t xml:space="preserve"> zur Umsetzung sind noch offen und lassen Interpretationen zu. In einer ersten Einschätzung hat die ASUE im DVGW nun durch Prof. Oschatz, ITG Dresden, berechnen lassen, wie </w:t>
      </w:r>
      <w:r w:rsidR="002C3E7A">
        <w:t xml:space="preserve">sich </w:t>
      </w:r>
      <w:r w:rsidR="0009160E">
        <w:t xml:space="preserve">die aus der ASUE-Broschüre </w:t>
      </w:r>
      <w:r w:rsidR="0009160E" w:rsidRPr="0009160E">
        <w:rPr>
          <w:b/>
          <w:bCs/>
        </w:rPr>
        <w:t>„Vom Niedrigstenergiehaus zum Hocheffizienzhaus“</w:t>
      </w:r>
      <w:r w:rsidR="0009160E">
        <w:t xml:space="preserve"> </w:t>
      </w:r>
      <w:r w:rsidR="0009160E">
        <w:t xml:space="preserve">bekannten technischen Heizungslösungen unter den neuen </w:t>
      </w:r>
      <w:r w:rsidR="00B8169C">
        <w:t xml:space="preserve">Anforderungen </w:t>
      </w:r>
      <w:r w:rsidR="0009160E">
        <w:t>darstellen.</w:t>
      </w:r>
    </w:p>
    <w:p w14:paraId="3DAEC49D" w14:textId="19546D42" w:rsidR="0009160E" w:rsidRDefault="0009160E" w:rsidP="0009160E">
      <w:pPr>
        <w:pStyle w:val="berschrift2"/>
      </w:pPr>
      <w:r>
        <w:t>65</w:t>
      </w:r>
      <w:r w:rsidR="00B8169C">
        <w:t xml:space="preserve"> </w:t>
      </w:r>
      <w:r>
        <w:t>%</w:t>
      </w:r>
      <w:r w:rsidR="00B8169C">
        <w:t xml:space="preserve"> </w:t>
      </w:r>
      <w:r>
        <w:t>EE: Neuberechnung der Effizienzhäuser</w:t>
      </w:r>
    </w:p>
    <w:p w14:paraId="21D02BE8" w14:textId="6A86F827" w:rsidR="0009160E" w:rsidRDefault="00B8169C" w:rsidP="00DF0E88">
      <w:r>
        <w:t>Das</w:t>
      </w:r>
      <w:r w:rsidR="00DF0E88">
        <w:t xml:space="preserve"> in der Broschüre betrachtete Referenzgebäude hat eine Wohnfläche von 135 m</w:t>
      </w:r>
      <w:r w:rsidRPr="00686E56">
        <w:rPr>
          <w:vertAlign w:val="superscript"/>
        </w:rPr>
        <w:t>2</w:t>
      </w:r>
      <w:r>
        <w:t xml:space="preserve"> </w:t>
      </w:r>
      <w:r w:rsidR="00DF0E88">
        <w:t>bei einer Nutzfläche von 164 m² und einer Nettogrundfläche</w:t>
      </w:r>
      <w:r>
        <w:t xml:space="preserve"> 133 m</w:t>
      </w:r>
      <w:r>
        <w:rPr>
          <w:vertAlign w:val="superscript"/>
        </w:rPr>
        <w:t>2</w:t>
      </w:r>
      <w:r w:rsidR="00DF0E88">
        <w:t>. Das Verhältnis von Außenfläche zu Volumen beträgt 0,76 m</w:t>
      </w:r>
      <w:r w:rsidR="00DF0E88" w:rsidRPr="00686E56">
        <w:rPr>
          <w:vertAlign w:val="superscript"/>
        </w:rPr>
        <w:t>-1</w:t>
      </w:r>
      <w:r w:rsidR="00DF0E88">
        <w:t xml:space="preserve"> und die bauliche Ausstattung </w:t>
      </w:r>
      <w:r>
        <w:t xml:space="preserve">wurde </w:t>
      </w:r>
      <w:r w:rsidR="00DF0E88">
        <w:t>den Anforderungen eines KfW-Effizienzhauses 40 entsprechend gewählt.</w:t>
      </w:r>
      <w:r w:rsidR="008D6EA1">
        <w:t xml:space="preserve"> Die Übergabe der Raumwärme erfolgt über eine Fußbodenheizung.</w:t>
      </w:r>
    </w:p>
    <w:p w14:paraId="69B02606" w14:textId="56A48ACC" w:rsidR="00FC3DE5" w:rsidRDefault="00B45FF9" w:rsidP="00DF0E88">
      <w:pPr>
        <w:sectPr w:rsidR="00FC3DE5" w:rsidSect="003C399C">
          <w:type w:val="continuous"/>
          <w:pgSz w:w="11906" w:h="16838"/>
          <w:pgMar w:top="2552" w:right="707" w:bottom="1134" w:left="709" w:header="568" w:footer="708" w:gutter="0"/>
          <w:cols w:num="2" w:space="708"/>
          <w:docGrid w:linePitch="360"/>
        </w:sectPr>
      </w:pPr>
      <w:r>
        <w:t xml:space="preserve">Die unterschiedlichen Ausstattungsvarianten nutzen anteilig erneuerbare Energie. </w:t>
      </w:r>
      <w:r w:rsidR="00FC3DE5">
        <w:t>So sind Photovoltaik-Anlagen mit und ohne Akku und elektrische Wärmepumpen in verschiedenen Varianten enthalten. Aber auch moder</w:t>
      </w:r>
      <w:r w:rsidR="00BE0584">
        <w:t>n</w:t>
      </w:r>
      <w:r w:rsidR="00FC3DE5">
        <w:t>e Effizienztechnik, wie Brennstoffzellen und Gaswärmepumpen sind enthalten.</w:t>
      </w:r>
    </w:p>
    <w:p w14:paraId="49D3AEF5" w14:textId="77777777" w:rsidR="00132542" w:rsidRDefault="00132542" w:rsidP="00DF0E88">
      <w:pPr>
        <w:sectPr w:rsidR="00132542" w:rsidSect="00132542">
          <w:type w:val="continuous"/>
          <w:pgSz w:w="11906" w:h="16838"/>
          <w:pgMar w:top="2552" w:right="707" w:bottom="1134" w:left="709" w:header="56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100DC8A" wp14:editId="6DFA4336">
            <wp:extent cx="6655242" cy="295940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694" cy="297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F542E" w14:textId="0737727E" w:rsidR="00132542" w:rsidRPr="005A7385" w:rsidRDefault="00132542" w:rsidP="00132542">
      <w:pPr>
        <w:pStyle w:val="Beschriftung"/>
        <w:rPr>
          <w:rFonts w:ascii="TheSans" w:hAnsi="TheSans"/>
        </w:rPr>
      </w:pPr>
      <w:r>
        <w:t xml:space="preserve">Ergebnisse: Anteile erneuerbarer Energie im ASUE-Referenzhaus aus der Broschüre </w:t>
      </w:r>
      <w:r w:rsidRPr="00132542">
        <w:t>„Vom Niedrigstenergiehaus zum Hocheffizienzhaus“</w:t>
      </w:r>
    </w:p>
    <w:p w14:paraId="752FED7D" w14:textId="77777777" w:rsidR="00132542" w:rsidRDefault="00132542" w:rsidP="00DF0E88">
      <w:pPr>
        <w:sectPr w:rsidR="00132542" w:rsidSect="00132542">
          <w:type w:val="continuous"/>
          <w:pgSz w:w="11906" w:h="16838"/>
          <w:pgMar w:top="2552" w:right="707" w:bottom="1134" w:left="709" w:header="568" w:footer="708" w:gutter="0"/>
          <w:cols w:space="708"/>
          <w:docGrid w:linePitch="360"/>
        </w:sectPr>
      </w:pPr>
    </w:p>
    <w:p w14:paraId="267641FC" w14:textId="7BBF1D9A" w:rsidR="00132542" w:rsidRDefault="00132542" w:rsidP="00132542">
      <w:pPr>
        <w:pStyle w:val="berschrift2"/>
      </w:pPr>
      <w:r>
        <w:lastRenderedPageBreak/>
        <w:t>Interpretation der Ergebnisse</w:t>
      </w:r>
    </w:p>
    <w:p w14:paraId="0F97E387" w14:textId="550D2167" w:rsidR="008D6EA1" w:rsidRDefault="00132542" w:rsidP="00DF0E88">
      <w:r>
        <w:t>Es wird deutlich: Im monovalenten Einsatz</w:t>
      </w:r>
      <w:r w:rsidR="003D0012">
        <w:t xml:space="preserve"> wird es ohne den Einsatz von Grünen Gasen keine Brennwertheizungen mehr geben. Die Pflicht zur Einbindung erneuerbarer Energie erfordert weitere Technologien. Die dazu</w:t>
      </w:r>
      <w:r w:rsidR="00FC3DE5">
        <w:t xml:space="preserve"> </w:t>
      </w:r>
      <w:r w:rsidR="008D6EA1">
        <w:t>erlaubten erneuerbaren Energiequellen sind:</w:t>
      </w:r>
    </w:p>
    <w:p w14:paraId="2C491B4C" w14:textId="314977CC" w:rsidR="008D6EA1" w:rsidRDefault="008D6EA1" w:rsidP="008D6EA1">
      <w:pPr>
        <w:pStyle w:val="Listenabsatz"/>
        <w:numPr>
          <w:ilvl w:val="0"/>
          <w:numId w:val="8"/>
        </w:numPr>
        <w:ind w:left="284" w:hanging="284"/>
        <w:rPr>
          <w:color w:val="auto"/>
        </w:rPr>
      </w:pPr>
      <w:r w:rsidRPr="008D6EA1">
        <w:rPr>
          <w:color w:val="auto"/>
        </w:rPr>
        <w:t>Solar</w:t>
      </w:r>
      <w:r w:rsidR="00FC3DE5">
        <w:rPr>
          <w:color w:val="auto"/>
        </w:rPr>
        <w:t>thermie</w:t>
      </w:r>
    </w:p>
    <w:p w14:paraId="03943C2D" w14:textId="2BBA7BDB" w:rsidR="008D6EA1" w:rsidRDefault="000279C2" w:rsidP="008D6EA1">
      <w:pPr>
        <w:pStyle w:val="Listenabsatz"/>
        <w:numPr>
          <w:ilvl w:val="0"/>
          <w:numId w:val="8"/>
        </w:numPr>
        <w:ind w:left="284" w:hanging="284"/>
        <w:rPr>
          <w:color w:val="auto"/>
        </w:rPr>
      </w:pPr>
      <w:r>
        <w:rPr>
          <w:color w:val="auto"/>
        </w:rPr>
        <w:t>Geothermie (oberflächennah, tief)</w:t>
      </w:r>
    </w:p>
    <w:p w14:paraId="5A9E6583" w14:textId="39B3239D" w:rsidR="000279C2" w:rsidRDefault="000279C2" w:rsidP="008D6EA1">
      <w:pPr>
        <w:pStyle w:val="Listenabsatz"/>
        <w:numPr>
          <w:ilvl w:val="0"/>
          <w:numId w:val="8"/>
        </w:numPr>
        <w:ind w:left="284" w:hanging="284"/>
        <w:rPr>
          <w:color w:val="auto"/>
        </w:rPr>
      </w:pPr>
      <w:r>
        <w:rPr>
          <w:color w:val="auto"/>
        </w:rPr>
        <w:t>Abwasser</w:t>
      </w:r>
      <w:r w:rsidR="00FC3DE5">
        <w:rPr>
          <w:color w:val="auto"/>
        </w:rPr>
        <w:t>wärme</w:t>
      </w:r>
    </w:p>
    <w:p w14:paraId="7DDE1CB3" w14:textId="4C97A4FE" w:rsidR="000279C2" w:rsidRDefault="000279C2" w:rsidP="008D6EA1">
      <w:pPr>
        <w:pStyle w:val="Listenabsatz"/>
        <w:numPr>
          <w:ilvl w:val="0"/>
          <w:numId w:val="8"/>
        </w:numPr>
        <w:ind w:left="284" w:hanging="284"/>
        <w:rPr>
          <w:color w:val="auto"/>
        </w:rPr>
      </w:pPr>
      <w:r>
        <w:rPr>
          <w:color w:val="auto"/>
        </w:rPr>
        <w:t>Feste Biomasse (Holz, Pellets etc.)</w:t>
      </w:r>
    </w:p>
    <w:p w14:paraId="70A17BF0" w14:textId="3C755FC2" w:rsidR="000279C2" w:rsidRDefault="000279C2" w:rsidP="008D6EA1">
      <w:pPr>
        <w:pStyle w:val="Listenabsatz"/>
        <w:numPr>
          <w:ilvl w:val="0"/>
          <w:numId w:val="8"/>
        </w:numPr>
        <w:ind w:left="284" w:hanging="284"/>
        <w:rPr>
          <w:color w:val="auto"/>
        </w:rPr>
      </w:pPr>
      <w:r>
        <w:rPr>
          <w:color w:val="auto"/>
        </w:rPr>
        <w:t>Flüssige Biomasse (Bioethanol, Pflanzenöl etc.)</w:t>
      </w:r>
    </w:p>
    <w:p w14:paraId="7DE76379" w14:textId="73C74CEC" w:rsidR="000279C2" w:rsidRDefault="000279C2" w:rsidP="008D6EA1">
      <w:pPr>
        <w:pStyle w:val="Listenabsatz"/>
        <w:numPr>
          <w:ilvl w:val="0"/>
          <w:numId w:val="8"/>
        </w:numPr>
        <w:ind w:left="284" w:hanging="284"/>
        <w:rPr>
          <w:color w:val="auto"/>
        </w:rPr>
      </w:pPr>
      <w:r>
        <w:rPr>
          <w:color w:val="auto"/>
        </w:rPr>
        <w:t>Gasförmige Biomasse (Biogas, Biomethan)</w:t>
      </w:r>
    </w:p>
    <w:p w14:paraId="3FDEF824" w14:textId="5E027A69" w:rsidR="003D0012" w:rsidRDefault="003D0012" w:rsidP="003D0012">
      <w:r>
        <w:t xml:space="preserve">Die Lösung mit dem höchsten Anteil erneuerbarer Energie ist die </w:t>
      </w:r>
      <w:r w:rsidRPr="00686E56">
        <w:rPr>
          <w:b/>
          <w:bCs/>
        </w:rPr>
        <w:t>Variante 8a</w:t>
      </w:r>
      <w:r>
        <w:t xml:space="preserve"> mit einem Hybrid aus Gasbrennwertheizung (GBW) und elektrischer Wärmepumpe (</w:t>
      </w:r>
      <w:proofErr w:type="spellStart"/>
      <w:r>
        <w:t>eWP</w:t>
      </w:r>
      <w:proofErr w:type="spellEnd"/>
      <w:r>
        <w:t xml:space="preserve">). Bei einem Betriebsanteil von 20 % GBW zu 80 % </w:t>
      </w:r>
      <w:proofErr w:type="spellStart"/>
      <w:r>
        <w:t>eWP</w:t>
      </w:r>
      <w:proofErr w:type="spellEnd"/>
      <w:r>
        <w:t xml:space="preserve"> wird 78 % der Heizenergie erneuerbar bereitgestellt.</w:t>
      </w:r>
      <w:r w:rsidR="00DF7B61">
        <w:t xml:space="preserve"> </w:t>
      </w:r>
      <w:r w:rsidR="008B2193">
        <w:t xml:space="preserve">Alle weiteren </w:t>
      </w:r>
      <w:r w:rsidR="00A96527">
        <w:t>Varianten</w:t>
      </w:r>
      <w:r w:rsidR="008B2193">
        <w:t xml:space="preserve"> müssen ebenfalls um </w:t>
      </w:r>
      <w:r w:rsidR="00A96527">
        <w:t xml:space="preserve">zusätzliche </w:t>
      </w:r>
      <w:r w:rsidR="008B2193">
        <w:t xml:space="preserve">Technologien erweitert werden und erreichen dennoch </w:t>
      </w:r>
      <w:r w:rsidR="00A96527">
        <w:t>nur niedrigere EE-Anteile.</w:t>
      </w:r>
    </w:p>
    <w:p w14:paraId="244685F3" w14:textId="6118325C" w:rsidR="00DF7B61" w:rsidRDefault="00DF7B61" w:rsidP="003D0012">
      <w:r>
        <w:t>Im Neubau von Einfamilienhäusern wird es für die Gasbrennwerttechnik schwierig, sobald ausreichende Mengen von Umweltwärme und elektrischer Energie bereitstehen. Hier ist der Einsatz klimaneutraler, grüner Gase anzustreben.</w:t>
      </w:r>
    </w:p>
    <w:p w14:paraId="77E8D1D4" w14:textId="6394E674" w:rsidR="00BE3FC8" w:rsidRDefault="00DF7B61" w:rsidP="003D0012">
      <w:r>
        <w:t xml:space="preserve">Ein </w:t>
      </w:r>
      <w:r w:rsidR="00BE3FC8">
        <w:t>sehr gutes Ergebnis von 63 % EE-Anteil zeigt die hoch geförderte SOFC-Brennstoffzelle mit Wärmepumpe und Lüftung</w:t>
      </w:r>
      <w:r w:rsidR="00686E56">
        <w:t xml:space="preserve"> (</w:t>
      </w:r>
      <w:r w:rsidR="00686E56" w:rsidRPr="00686E56">
        <w:rPr>
          <w:b/>
          <w:bCs/>
        </w:rPr>
        <w:t>Variante 5</w:t>
      </w:r>
      <w:r w:rsidR="00686E56">
        <w:t>)</w:t>
      </w:r>
      <w:r w:rsidR="00BE3FC8">
        <w:t xml:space="preserve">. Hier reichen </w:t>
      </w:r>
      <w:r w:rsidR="00A96527">
        <w:t xml:space="preserve">minimale </w:t>
      </w:r>
      <w:r w:rsidR="00BE3FC8">
        <w:t>zusätzlich</w:t>
      </w:r>
      <w:r w:rsidR="00A96527">
        <w:t>e</w:t>
      </w:r>
      <w:r w:rsidR="00BE3FC8">
        <w:t xml:space="preserve"> Maßnahmen zum Erreichen der EE-Ziele </w:t>
      </w:r>
      <w:r w:rsidR="00A96527">
        <w:t xml:space="preserve">bereits </w:t>
      </w:r>
      <w:r w:rsidR="00BE3FC8">
        <w:t>aus.</w:t>
      </w:r>
    </w:p>
    <w:p w14:paraId="1C71CE73" w14:textId="638BD948" w:rsidR="00DF7B61" w:rsidRDefault="00BE3FC8" w:rsidP="003D0012">
      <w:r>
        <w:t xml:space="preserve">Ein </w:t>
      </w:r>
      <w:r w:rsidR="00DF7B61">
        <w:t xml:space="preserve">überraschend gutes Ergebnis erzielte die Gaswärmepumpe aus </w:t>
      </w:r>
      <w:r w:rsidR="00DF7B61" w:rsidRPr="00686E56">
        <w:rPr>
          <w:b/>
          <w:bCs/>
        </w:rPr>
        <w:t>Variante 7</w:t>
      </w:r>
      <w:r w:rsidR="00DF7B61">
        <w:t xml:space="preserve">, die durch </w:t>
      </w:r>
      <w:r>
        <w:t>die Einbindung von Umweltwärme einen EE-Anteil von 43 %</w:t>
      </w:r>
      <w:r w:rsidR="00A96527">
        <w:t xml:space="preserve"> erzielt</w:t>
      </w:r>
      <w:r>
        <w:t>. Dieser Wert kann durch den Einsatz von Photovoltaik und einer Wärmerückgewinnung an der Lüftung auf mehr als 65 % gehoben werden.</w:t>
      </w:r>
    </w:p>
    <w:p w14:paraId="707FCE28" w14:textId="2C3FE587" w:rsidR="00BE3FC8" w:rsidRDefault="00BE3FC8" w:rsidP="00BE3FC8">
      <w:pPr>
        <w:pStyle w:val="berschrift2"/>
      </w:pPr>
      <w:r>
        <w:t>Ausblick</w:t>
      </w:r>
    </w:p>
    <w:p w14:paraId="035B8A72" w14:textId="1ABEA86A" w:rsidR="00132542" w:rsidRDefault="00BE3FC8" w:rsidP="00B45FF9">
      <w:r>
        <w:t>Die Ereignisse überschlagen sich. In einem Ende April 2022 bekannt gewordenem Entwurf</w:t>
      </w:r>
      <w:r w:rsidR="004F2821">
        <w:t xml:space="preserve"> des </w:t>
      </w:r>
      <w:r w:rsidR="004F2821">
        <w:t>neuen GEG sind auf der Positivliste der erlaubten Heiztechnologien ausschließlich elektrisch getriebene Heizung zu finden. Erdgas wird explizit ausgeschlossen, dagegen scheint die Tür für Biogas/Biomethan durch ihre Nichtnennung noch ein Stück weit geöffnet.</w:t>
      </w:r>
    </w:p>
    <w:p w14:paraId="4C7FC817" w14:textId="6198E7F6" w:rsidR="004F2821" w:rsidRDefault="004F2821" w:rsidP="00B45FF9">
      <w:r>
        <w:t>Sowohl die Heizungshersteller als auch die Gaswirtschaft arbeiten mit Hochdruck am Umstieg vo</w:t>
      </w:r>
      <w:r w:rsidR="007C0EBE">
        <w:t>n</w:t>
      </w:r>
      <w:r>
        <w:t xml:space="preserve"> Erdgas auf Wasserstoff und Biomethan. Diverse Hersteller haben wasserstofffähige Geräte bereits im Feldtest, die Netzgesellschaften wissen, was für eine Umstellung auf Wasserstoff an Pipelines und Speichern zu tun ist.</w:t>
      </w:r>
    </w:p>
    <w:p w14:paraId="1F4FAA20" w14:textId="22B6BA7A" w:rsidR="004F2821" w:rsidRDefault="004F2821" w:rsidP="00B45FF9">
      <w:r>
        <w:t xml:space="preserve">Diese Vorleistung wird nicht vergeben sein. Die Formulierung aus dem Entlastungspaket 2, </w:t>
      </w:r>
      <w:r w:rsidR="001B2707">
        <w:t>„</w:t>
      </w:r>
      <w:r w:rsidRPr="001B2707">
        <w:rPr>
          <w:b/>
          <w:bCs/>
          <w:i/>
          <w:iCs/>
        </w:rPr>
        <w:t>möglichst</w:t>
      </w:r>
      <w:r w:rsidRPr="001B2707">
        <w:rPr>
          <w:i/>
          <w:iCs/>
        </w:rPr>
        <w:t xml:space="preserve"> mindestens 65 % </w:t>
      </w:r>
      <w:r w:rsidR="001B2707" w:rsidRPr="001B2707">
        <w:rPr>
          <w:i/>
          <w:iCs/>
        </w:rPr>
        <w:t>Erneuerbare Energie</w:t>
      </w:r>
      <w:r w:rsidR="001B2707">
        <w:t xml:space="preserve">“ einzubinden, entschärft die Forderungen. Eine realitätskompatible Regelung böte auch im Schatten großer Bäume oder in Trinkwasser-Schutzgebieten lebenden Menschen eine Perspektive </w:t>
      </w:r>
      <w:r w:rsidR="005114A8">
        <w:t>innerhalb stark dogmatisch geführter, öffentlicher Diskussionen</w:t>
      </w:r>
      <w:r w:rsidR="001B2707">
        <w:t>.</w:t>
      </w:r>
    </w:p>
    <w:p w14:paraId="5F4B6AA7" w14:textId="77777777" w:rsidR="005114A8" w:rsidRDefault="005114A8" w:rsidP="00B45FF9"/>
    <w:p w14:paraId="2FC2A28F" w14:textId="77777777" w:rsidR="005114A8" w:rsidRDefault="005114A8" w:rsidP="00B45FF9"/>
    <w:p w14:paraId="1B74A0FD" w14:textId="77777777" w:rsidR="005114A8" w:rsidRDefault="005114A8" w:rsidP="00B45FF9"/>
    <w:p w14:paraId="0CB16046" w14:textId="77777777" w:rsidR="005114A8" w:rsidRDefault="005114A8" w:rsidP="00B45FF9"/>
    <w:p w14:paraId="6DCC725E" w14:textId="77777777" w:rsidR="005114A8" w:rsidRDefault="005114A8" w:rsidP="00B45FF9"/>
    <w:p w14:paraId="28DFBCBE" w14:textId="77777777" w:rsidR="005114A8" w:rsidRDefault="005114A8" w:rsidP="00B45FF9"/>
    <w:p w14:paraId="22AE4EA9" w14:textId="77777777" w:rsidR="005114A8" w:rsidRDefault="005114A8" w:rsidP="00B45FF9"/>
    <w:p w14:paraId="3C3C2730" w14:textId="77777777" w:rsidR="005114A8" w:rsidRDefault="005114A8" w:rsidP="00B45FF9"/>
    <w:p w14:paraId="571C9C55" w14:textId="140C7048" w:rsidR="005114A8" w:rsidRDefault="005114A8" w:rsidP="00B45FF9">
      <w:r>
        <w:rPr>
          <w:noProof/>
        </w:rPr>
        <w:drawing>
          <wp:anchor distT="0" distB="0" distL="114300" distR="114300" simplePos="0" relativeHeight="251658240" behindDoc="1" locked="0" layoutInCell="1" allowOverlap="1" wp14:anchorId="41234A02" wp14:editId="4E65346E">
            <wp:simplePos x="4118610" y="6162040"/>
            <wp:positionH relativeFrom="page">
              <wp:align>right</wp:align>
            </wp:positionH>
            <wp:positionV relativeFrom="page">
              <wp:align>bottom</wp:align>
            </wp:positionV>
            <wp:extent cx="3092400" cy="3801600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00" cy="3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E1B79" w14:textId="77777777" w:rsidR="00BE3FC8" w:rsidRDefault="00BE3FC8" w:rsidP="00B45FF9"/>
    <w:sectPr w:rsidR="00BE3FC8" w:rsidSect="00B243DB">
      <w:footerReference w:type="default" r:id="rId12"/>
      <w:pgSz w:w="11906" w:h="16838"/>
      <w:pgMar w:top="2268" w:right="707" w:bottom="1134" w:left="709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CE0D" w14:textId="77777777" w:rsidR="00F1313C" w:rsidRDefault="00F1313C" w:rsidP="004710D2">
      <w:pPr>
        <w:spacing w:after="0"/>
      </w:pPr>
      <w:r>
        <w:separator/>
      </w:r>
    </w:p>
    <w:p w14:paraId="5466A46F" w14:textId="77777777" w:rsidR="00F1313C" w:rsidRDefault="00F1313C"/>
  </w:endnote>
  <w:endnote w:type="continuationSeparator" w:id="0">
    <w:p w14:paraId="3EBED734" w14:textId="77777777" w:rsidR="00F1313C" w:rsidRDefault="00F1313C" w:rsidP="004710D2">
      <w:pPr>
        <w:spacing w:after="0"/>
      </w:pPr>
      <w:r>
        <w:continuationSeparator/>
      </w:r>
    </w:p>
    <w:p w14:paraId="3A52BD7C" w14:textId="77777777" w:rsidR="00F1313C" w:rsidRDefault="00F13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">
    <w:altName w:val="Corbel"/>
    <w:charset w:val="00"/>
    <w:family w:val="auto"/>
    <w:pitch w:val="variable"/>
    <w:sig w:usb0="00000003" w:usb1="00000000" w:usb2="00000000" w:usb3="00000000" w:csb0="00000001" w:csb1="00000000"/>
  </w:font>
  <w:font w:name="TheSans-B7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9A8C" w14:textId="77777777" w:rsidR="00F15F2A" w:rsidRPr="004C5BD1" w:rsidRDefault="00F15F2A" w:rsidP="00B243DB">
    <w:pPr>
      <w:pStyle w:val="Fuzeile"/>
      <w:tabs>
        <w:tab w:val="clear" w:pos="9072"/>
        <w:tab w:val="right" w:pos="10490"/>
      </w:tabs>
      <w:rPr>
        <w:rFonts w:ascii="TheSans" w:hAnsi="TheSans"/>
        <w:color w:val="0070B8"/>
      </w:rPr>
    </w:pPr>
    <w:r w:rsidRPr="004C5BD1">
      <w:rPr>
        <w:rFonts w:ascii="TheSans" w:hAnsi="TheSans"/>
        <w:color w:val="0070B8"/>
      </w:rPr>
      <w:t xml:space="preserve">Seite </w:t>
    </w:r>
    <w:sdt>
      <w:sdtPr>
        <w:rPr>
          <w:rFonts w:ascii="TheSans" w:hAnsi="TheSans"/>
          <w:color w:val="0070B8"/>
        </w:rPr>
        <w:id w:val="-922184462"/>
        <w:docPartObj>
          <w:docPartGallery w:val="Page Numbers (Bottom of Page)"/>
          <w:docPartUnique/>
        </w:docPartObj>
      </w:sdtPr>
      <w:sdtEndPr/>
      <w:sdtContent>
        <w:r w:rsidRPr="004C5BD1">
          <w:rPr>
            <w:rFonts w:ascii="TheSans" w:hAnsi="TheSans"/>
            <w:color w:val="0070B8"/>
          </w:rPr>
          <w:fldChar w:fldCharType="begin"/>
        </w:r>
        <w:r w:rsidRPr="004C5BD1">
          <w:rPr>
            <w:rFonts w:ascii="TheSans" w:hAnsi="TheSans"/>
            <w:color w:val="0070B8"/>
          </w:rPr>
          <w:instrText>PAGE   \* MERGEFORMAT</w:instrText>
        </w:r>
        <w:r w:rsidRPr="004C5BD1">
          <w:rPr>
            <w:rFonts w:ascii="TheSans" w:hAnsi="TheSans"/>
            <w:color w:val="0070B8"/>
          </w:rPr>
          <w:fldChar w:fldCharType="separate"/>
        </w:r>
        <w:r w:rsidR="003C399C">
          <w:rPr>
            <w:rFonts w:ascii="TheSans" w:hAnsi="TheSans"/>
            <w:noProof/>
            <w:color w:val="0070B8"/>
          </w:rPr>
          <w:t>2</w:t>
        </w:r>
        <w:r w:rsidRPr="004C5BD1">
          <w:rPr>
            <w:rFonts w:ascii="TheSans" w:hAnsi="TheSans"/>
            <w:color w:val="0070B8"/>
          </w:rPr>
          <w:fldChar w:fldCharType="end"/>
        </w:r>
      </w:sdtContent>
    </w:sdt>
    <w:r w:rsidR="00B243DB" w:rsidRPr="004C5BD1">
      <w:rPr>
        <w:rFonts w:ascii="TheSans" w:hAnsi="TheSans"/>
        <w:color w:val="0070B8"/>
      </w:rPr>
      <w:tab/>
    </w:r>
    <w:r w:rsidR="00B243DB" w:rsidRPr="004C5BD1">
      <w:rPr>
        <w:rFonts w:ascii="TheSans" w:hAnsi="TheSans"/>
        <w:color w:val="0070B8"/>
      </w:rPr>
      <w:tab/>
      <w:t>www.asue.de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ACBD" w14:textId="77777777" w:rsidR="00F15F2A" w:rsidRPr="00F15F2A" w:rsidRDefault="00F15F2A">
    <w:pPr>
      <w:pStyle w:val="Fuzeile"/>
      <w:rPr>
        <w:color w:val="0070B8"/>
      </w:rPr>
    </w:pPr>
    <w:r w:rsidRPr="00F15F2A">
      <w:rPr>
        <w:color w:val="0070B8"/>
      </w:rPr>
      <w:t xml:space="preserve">Seite </w:t>
    </w:r>
    <w:sdt>
      <w:sdtPr>
        <w:rPr>
          <w:color w:val="0070B8"/>
        </w:rPr>
        <w:id w:val="-1745179617"/>
        <w:docPartObj>
          <w:docPartGallery w:val="Page Numbers (Bottom of Page)"/>
          <w:docPartUnique/>
        </w:docPartObj>
      </w:sdtPr>
      <w:sdtEndPr/>
      <w:sdtContent>
        <w:r w:rsidRPr="00F15F2A">
          <w:rPr>
            <w:color w:val="0070B8"/>
          </w:rPr>
          <w:fldChar w:fldCharType="begin"/>
        </w:r>
        <w:r w:rsidRPr="00F15F2A">
          <w:rPr>
            <w:color w:val="0070B8"/>
          </w:rPr>
          <w:instrText>PAGE   \* MERGEFORMAT</w:instrText>
        </w:r>
        <w:r w:rsidRPr="00F15F2A">
          <w:rPr>
            <w:color w:val="0070B8"/>
          </w:rPr>
          <w:fldChar w:fldCharType="separate"/>
        </w:r>
        <w:r w:rsidR="003C399C">
          <w:rPr>
            <w:noProof/>
            <w:color w:val="0070B8"/>
          </w:rPr>
          <w:t>3</w:t>
        </w:r>
        <w:r w:rsidRPr="00F15F2A">
          <w:rPr>
            <w:color w:val="0070B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3046" w14:textId="77777777" w:rsidR="00F1313C" w:rsidRDefault="00F1313C" w:rsidP="004710D2">
      <w:pPr>
        <w:spacing w:after="0"/>
      </w:pPr>
      <w:r>
        <w:separator/>
      </w:r>
    </w:p>
    <w:p w14:paraId="4A95B31D" w14:textId="77777777" w:rsidR="00F1313C" w:rsidRDefault="00F1313C"/>
  </w:footnote>
  <w:footnote w:type="continuationSeparator" w:id="0">
    <w:p w14:paraId="1F09AE77" w14:textId="77777777" w:rsidR="00F1313C" w:rsidRDefault="00F1313C" w:rsidP="004710D2">
      <w:pPr>
        <w:spacing w:after="0"/>
      </w:pPr>
      <w:r>
        <w:continuationSeparator/>
      </w:r>
    </w:p>
    <w:p w14:paraId="5176C167" w14:textId="77777777" w:rsidR="00F1313C" w:rsidRDefault="00F131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9FC0" w14:textId="77777777" w:rsidR="004710D2" w:rsidRDefault="000F4BCA" w:rsidP="004710D2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B1AE88" wp14:editId="501F7509">
              <wp:simplePos x="0" y="0"/>
              <wp:positionH relativeFrom="column">
                <wp:posOffset>2889334</wp:posOffset>
              </wp:positionH>
              <wp:positionV relativeFrom="paragraph">
                <wp:posOffset>-34677</wp:posOffset>
              </wp:positionV>
              <wp:extent cx="3873196" cy="618409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196" cy="6184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FE3AFE" w14:textId="0E31CCF2" w:rsidR="000F4BCA" w:rsidRPr="004C5BD1" w:rsidRDefault="009F73F3" w:rsidP="009F73F3">
                          <w:pPr>
                            <w:spacing w:line="260" w:lineRule="exact"/>
                            <w:jc w:val="right"/>
                            <w:rPr>
                              <w:rFonts w:ascii="TheSans" w:hAnsi="TheSans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TheSans" w:hAnsi="TheSans"/>
                              <w:b/>
                              <w:color w:val="FFFFFF" w:themeColor="background1"/>
                            </w:rPr>
                            <w:t>Die Zukunft der Gebäudeheizung: Mit oder ohne Gas?</w:t>
                          </w:r>
                          <w:r>
                            <w:rPr>
                              <w:rFonts w:ascii="TheSans" w:hAnsi="TheSans"/>
                              <w:b/>
                              <w:color w:val="FFFFFF" w:themeColor="background1"/>
                            </w:rPr>
                            <w:br/>
                          </w:r>
                          <w:r w:rsidRPr="009F73F3">
                            <w:rPr>
                              <w:rFonts w:ascii="TheSans" w:hAnsi="TheSans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TheSans" w:hAnsi="TheSans"/>
                              <w:b/>
                              <w:color w:val="FFFFFF" w:themeColor="background1"/>
                            </w:rPr>
                            <w:t>GEG 2022: 65 % Erneuerbare Energie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1AE8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227.5pt;margin-top:-2.75pt;width:305pt;height: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" filled="f" stroked="f" strokeweight=".5pt">
              <v:textbox>
                <w:txbxContent>
                  <w:p w14:paraId="4EFE3AFE" w14:textId="0E31CCF2" w:rsidR="000F4BCA" w:rsidRPr="004C5BD1" w:rsidRDefault="009F73F3" w:rsidP="009F73F3">
                    <w:pPr>
                      <w:spacing w:line="260" w:lineRule="exact"/>
                      <w:jc w:val="right"/>
                      <w:rPr>
                        <w:rFonts w:ascii="TheSans" w:hAnsi="TheSans"/>
                        <w:b/>
                        <w:color w:val="FFFFFF" w:themeColor="background1"/>
                      </w:rPr>
                    </w:pPr>
                    <w:r>
                      <w:rPr>
                        <w:rFonts w:ascii="TheSans" w:hAnsi="TheSans"/>
                        <w:b/>
                        <w:color w:val="FFFFFF" w:themeColor="background1"/>
                      </w:rPr>
                      <w:t>Die Zukunft der Gebäudeheizung: Mit oder ohne Gas?</w:t>
                    </w:r>
                    <w:r>
                      <w:rPr>
                        <w:rFonts w:ascii="TheSans" w:hAnsi="TheSans"/>
                        <w:b/>
                        <w:color w:val="FFFFFF" w:themeColor="background1"/>
                      </w:rPr>
                      <w:br/>
                    </w:r>
                    <w:r w:rsidRPr="009F73F3">
                      <w:rPr>
                        <w:rFonts w:ascii="TheSans" w:hAnsi="TheSans"/>
                        <w:b/>
                        <w:color w:val="FFFFFF" w:themeColor="background1"/>
                        <w:sz w:val="12"/>
                        <w:szCs w:val="12"/>
                      </w:rPr>
                      <w:br/>
                    </w:r>
                    <w:r>
                      <w:rPr>
                        <w:rFonts w:ascii="TheSans" w:hAnsi="TheSans"/>
                        <w:b/>
                        <w:color w:val="FFFFFF" w:themeColor="background1"/>
                      </w:rPr>
                      <w:t>GEG 2022: 65 % Erneuerbare Energie</w:t>
                    </w:r>
                  </w:p>
                </w:txbxContent>
              </v:textbox>
            </v:shape>
          </w:pict>
        </mc:Fallback>
      </mc:AlternateContent>
    </w:r>
    <w:r w:rsidR="004710D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95D2E" wp14:editId="384876B1">
              <wp:simplePos x="0" y="0"/>
              <wp:positionH relativeFrom="column">
                <wp:posOffset>-1132603</wp:posOffset>
              </wp:positionH>
              <wp:positionV relativeFrom="paragraph">
                <wp:posOffset>-360680</wp:posOffset>
              </wp:positionV>
              <wp:extent cx="8531749" cy="1241946"/>
              <wp:effectExtent l="0" t="0" r="3175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31749" cy="1241946"/>
                      </a:xfrm>
                      <a:prstGeom prst="rect">
                        <a:avLst/>
                      </a:prstGeom>
                      <a:solidFill>
                        <a:srgbClr val="0070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A28BBC" w14:textId="7313FBA3" w:rsidR="004710D2" w:rsidRDefault="00C05857" w:rsidP="003370A8">
                          <w:pPr>
                            <w:ind w:left="1701" w:hanging="283"/>
                            <w:jc w:val="left"/>
                          </w:pPr>
                          <w:r>
                            <w:tab/>
                          </w:r>
                          <w:r w:rsidR="001C2E59">
                            <w:rPr>
                              <w:noProof/>
                            </w:rPr>
                            <w:drawing>
                              <wp:inline distT="0" distB="0" distL="0" distR="0" wp14:anchorId="1C05C5F1" wp14:editId="3D14868E">
                                <wp:extent cx="1375576" cy="476774"/>
                                <wp:effectExtent l="0" t="0" r="0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25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0534" cy="48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95D2E" id="Rechteck 4" o:spid="_x0000_s1027" style="position:absolute;left:0;text-align:left;margin-left:-89.2pt;margin-top:-28.4pt;width:671.8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" fillcolor="#0070b8" stroked="f" strokeweight="2pt">
              <v:textbox>
                <w:txbxContent>
                  <w:p w14:paraId="08A28BBC" w14:textId="7313FBA3" w:rsidR="004710D2" w:rsidRDefault="00C05857" w:rsidP="003370A8">
                    <w:pPr>
                      <w:ind w:left="1701" w:hanging="283"/>
                      <w:jc w:val="left"/>
                    </w:pPr>
                    <w:r>
                      <w:tab/>
                    </w:r>
                    <w:r w:rsidR="001C2E59">
                      <w:rPr>
                        <w:noProof/>
                      </w:rPr>
                      <w:drawing>
                        <wp:inline distT="0" distB="0" distL="0" distR="0" wp14:anchorId="1C05C5F1" wp14:editId="3D14868E">
                          <wp:extent cx="1375576" cy="476774"/>
                          <wp:effectExtent l="0" t="0" r="0" b="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25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0534" cy="488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2722"/>
    <w:multiLevelType w:val="hybridMultilevel"/>
    <w:tmpl w:val="D430B1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06B3F"/>
    <w:multiLevelType w:val="hybridMultilevel"/>
    <w:tmpl w:val="25D0F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7936"/>
    <w:multiLevelType w:val="hybridMultilevel"/>
    <w:tmpl w:val="A5F078C0"/>
    <w:lvl w:ilvl="0" w:tplc="D5441B8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053EC"/>
    <w:multiLevelType w:val="hybridMultilevel"/>
    <w:tmpl w:val="75A84FA0"/>
    <w:lvl w:ilvl="0" w:tplc="B0180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70B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E2210"/>
    <w:multiLevelType w:val="hybridMultilevel"/>
    <w:tmpl w:val="FC20FC06"/>
    <w:lvl w:ilvl="0" w:tplc="E3E2E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435F0"/>
    <w:multiLevelType w:val="hybridMultilevel"/>
    <w:tmpl w:val="C546C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consecutiveHyphenLimit w:val="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85"/>
    <w:rsid w:val="00026027"/>
    <w:rsid w:val="000279C2"/>
    <w:rsid w:val="0003132E"/>
    <w:rsid w:val="0009160E"/>
    <w:rsid w:val="000A185E"/>
    <w:rsid w:val="000B24B4"/>
    <w:rsid w:val="000D2822"/>
    <w:rsid w:val="000F4BCA"/>
    <w:rsid w:val="00132542"/>
    <w:rsid w:val="00191236"/>
    <w:rsid w:val="001B2707"/>
    <w:rsid w:val="001B28B9"/>
    <w:rsid w:val="001C2E59"/>
    <w:rsid w:val="00200539"/>
    <w:rsid w:val="00273CDC"/>
    <w:rsid w:val="002C3E7A"/>
    <w:rsid w:val="002D2C56"/>
    <w:rsid w:val="00302826"/>
    <w:rsid w:val="0031569B"/>
    <w:rsid w:val="003370A8"/>
    <w:rsid w:val="003A5D13"/>
    <w:rsid w:val="003C399C"/>
    <w:rsid w:val="003D0012"/>
    <w:rsid w:val="004710D2"/>
    <w:rsid w:val="004801C3"/>
    <w:rsid w:val="004A1DD7"/>
    <w:rsid w:val="004B2199"/>
    <w:rsid w:val="004C5BD1"/>
    <w:rsid w:val="004F2821"/>
    <w:rsid w:val="00505E99"/>
    <w:rsid w:val="005114A8"/>
    <w:rsid w:val="005123EB"/>
    <w:rsid w:val="00524460"/>
    <w:rsid w:val="005333B7"/>
    <w:rsid w:val="005335ED"/>
    <w:rsid w:val="00537A11"/>
    <w:rsid w:val="005A7385"/>
    <w:rsid w:val="005F6AAB"/>
    <w:rsid w:val="00640BE8"/>
    <w:rsid w:val="00646128"/>
    <w:rsid w:val="00686E56"/>
    <w:rsid w:val="00695D76"/>
    <w:rsid w:val="00785C76"/>
    <w:rsid w:val="007C0EBE"/>
    <w:rsid w:val="00821FD2"/>
    <w:rsid w:val="00890CA8"/>
    <w:rsid w:val="0089616F"/>
    <w:rsid w:val="008966F6"/>
    <w:rsid w:val="008A2ED7"/>
    <w:rsid w:val="008B2193"/>
    <w:rsid w:val="008D6EA1"/>
    <w:rsid w:val="00917E26"/>
    <w:rsid w:val="00941200"/>
    <w:rsid w:val="00973863"/>
    <w:rsid w:val="009D72A3"/>
    <w:rsid w:val="009F73F3"/>
    <w:rsid w:val="00A12D42"/>
    <w:rsid w:val="00A47F65"/>
    <w:rsid w:val="00A96527"/>
    <w:rsid w:val="00AD26FE"/>
    <w:rsid w:val="00B243DB"/>
    <w:rsid w:val="00B45FF9"/>
    <w:rsid w:val="00B77C65"/>
    <w:rsid w:val="00B8169C"/>
    <w:rsid w:val="00B83CEC"/>
    <w:rsid w:val="00B936E2"/>
    <w:rsid w:val="00BD3F6D"/>
    <w:rsid w:val="00BE0584"/>
    <w:rsid w:val="00BE3FC8"/>
    <w:rsid w:val="00C05857"/>
    <w:rsid w:val="00C20700"/>
    <w:rsid w:val="00C41D46"/>
    <w:rsid w:val="00C62098"/>
    <w:rsid w:val="00D17174"/>
    <w:rsid w:val="00D577DA"/>
    <w:rsid w:val="00D9670A"/>
    <w:rsid w:val="00DB7B16"/>
    <w:rsid w:val="00DF04DA"/>
    <w:rsid w:val="00DF0E88"/>
    <w:rsid w:val="00DF7B61"/>
    <w:rsid w:val="00E648B3"/>
    <w:rsid w:val="00F0147D"/>
    <w:rsid w:val="00F1313C"/>
    <w:rsid w:val="00F15F2A"/>
    <w:rsid w:val="00F6135A"/>
    <w:rsid w:val="00F9474B"/>
    <w:rsid w:val="00F96C18"/>
    <w:rsid w:val="00FB415E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4858F"/>
  <w15:docId w15:val="{3B98A4D6-BADA-4601-9A1D-0CE60BA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90CA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Calibri" w:hAnsi="Calibri" w:cs="Times New Roman"/>
      <w:sz w:val="24"/>
      <w:szCs w:val="24"/>
      <w:bdr w:val="nil"/>
    </w:rPr>
  </w:style>
  <w:style w:type="paragraph" w:styleId="berschrift1">
    <w:name w:val="heading 1"/>
    <w:next w:val="Standard"/>
    <w:link w:val="berschrift1Zchn"/>
    <w:uiPriority w:val="9"/>
    <w:qFormat/>
    <w:rsid w:val="00A12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0B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0E88"/>
    <w:pPr>
      <w:keepNext/>
      <w:keepLines/>
      <w:spacing w:before="240"/>
      <w:outlineLvl w:val="1"/>
    </w:pPr>
    <w:rPr>
      <w:rFonts w:eastAsiaTheme="majorEastAsia" w:cstheme="majorBidi"/>
      <w:b/>
      <w:bCs/>
      <w:color w:val="0070B8"/>
      <w:szCs w:val="26"/>
      <w:bdr w:val="none" w:sz="0" w:space="0" w:color="auto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6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02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027"/>
  </w:style>
  <w:style w:type="paragraph" w:styleId="Fuzeile">
    <w:name w:val="footer"/>
    <w:link w:val="FuzeileZchn"/>
    <w:uiPriority w:val="99"/>
    <w:unhideWhenUsed/>
    <w:rsid w:val="0002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027"/>
  </w:style>
  <w:style w:type="paragraph" w:styleId="Listenabsatz">
    <w:name w:val="List Paragraph"/>
    <w:basedOn w:val="Standard"/>
    <w:uiPriority w:val="34"/>
    <w:qFormat/>
    <w:rsid w:val="008D6EA1"/>
    <w:pPr>
      <w:numPr>
        <w:numId w:val="1"/>
      </w:numPr>
      <w:contextualSpacing/>
    </w:pPr>
    <w:rPr>
      <w:color w:val="0070B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2D42"/>
    <w:rPr>
      <w:rFonts w:asciiTheme="majorHAnsi" w:eastAsiaTheme="majorEastAsia" w:hAnsiTheme="majorHAnsi" w:cstheme="majorBidi"/>
      <w:b/>
      <w:bCs/>
      <w:color w:val="0070B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E88"/>
    <w:rPr>
      <w:rFonts w:ascii="Calibri" w:eastAsiaTheme="majorEastAsia" w:hAnsi="Calibri" w:cstheme="majorBidi"/>
      <w:b/>
      <w:bCs/>
      <w:color w:val="0070B8"/>
      <w:sz w:val="24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0D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0D2"/>
    <w:rPr>
      <w:rFonts w:ascii="Tahoma" w:hAnsi="Tahoma" w:cs="Tahoma"/>
      <w:sz w:val="16"/>
      <w:szCs w:val="16"/>
      <w:bdr w:val="nil"/>
    </w:rPr>
  </w:style>
  <w:style w:type="paragraph" w:styleId="KeinLeerraum">
    <w:name w:val="No Spacing"/>
    <w:uiPriority w:val="1"/>
    <w:qFormat/>
    <w:rsid w:val="00B243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hAnsi="Calibri" w:cs="Times New Roman"/>
      <w:sz w:val="24"/>
      <w:szCs w:val="24"/>
      <w:bdr w:val="nil"/>
    </w:rPr>
  </w:style>
  <w:style w:type="character" w:styleId="Fett">
    <w:name w:val="Strong"/>
    <w:basedOn w:val="Absatz-Standardschriftart"/>
    <w:uiPriority w:val="22"/>
    <w:qFormat/>
    <w:rsid w:val="00B243DB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8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8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85E"/>
    <w:rPr>
      <w:rFonts w:ascii="Calibri" w:hAnsi="Calibri" w:cs="Times New Roman"/>
      <w:sz w:val="20"/>
      <w:szCs w:val="20"/>
      <w:bdr w:val="n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8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85E"/>
    <w:rPr>
      <w:rFonts w:ascii="Calibri" w:hAnsi="Calibri" w:cs="Times New Roman"/>
      <w:b/>
      <w:bCs/>
      <w:sz w:val="20"/>
      <w:szCs w:val="20"/>
      <w:bdr w:val="nil"/>
    </w:rPr>
  </w:style>
  <w:style w:type="character" w:styleId="Hyperlink">
    <w:name w:val="Hyperlink"/>
    <w:basedOn w:val="Absatz-Standardschriftart"/>
    <w:uiPriority w:val="99"/>
    <w:unhideWhenUsed/>
    <w:rsid w:val="005335E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6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</w:rPr>
  </w:style>
  <w:style w:type="paragraph" w:styleId="Beschriftung">
    <w:name w:val="caption"/>
    <w:basedOn w:val="Standard"/>
    <w:next w:val="Standard"/>
    <w:uiPriority w:val="35"/>
    <w:unhideWhenUsed/>
    <w:qFormat/>
    <w:rsid w:val="00FB415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%20ASUE\2%20operatives\Vorlagen-Logos-Signaturen\EDV\Word\asue-presse%20und%20position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17FC-7917-44FD-A0FE-306DA109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asue-presse und positionen.dotx</Template>
  <TotalTime>0</TotalTime>
  <Pages>2</Pages>
  <Words>599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Grüne Gase- Ein maßgeblicher Baustein der Energiewende</vt:lpstr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Grüne Gase- Ein maßgeblicher Baustein der Energiewende</dc:title>
  <dc:subject>Biogas, Biomethan, PtG, Flexibilisierung, Ökologie</dc:subject>
  <dc:creator>Thomas Wencker</dc:creator>
  <cp:lastModifiedBy>Wencker, Thomas</cp:lastModifiedBy>
  <cp:revision>4</cp:revision>
  <cp:lastPrinted>2021-08-25T12:14:00Z</cp:lastPrinted>
  <dcterms:created xsi:type="dcterms:W3CDTF">2022-05-03T11:00:00Z</dcterms:created>
  <dcterms:modified xsi:type="dcterms:W3CDTF">2022-05-04T12:24:00Z</dcterms:modified>
</cp:coreProperties>
</file>